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F898" w14:textId="77777777" w:rsidR="00C05E8A" w:rsidRDefault="00210046" w:rsidP="006E6FA4">
      <w:pPr>
        <w:pStyle w:val="Ttulo1"/>
      </w:pPr>
      <w:r>
        <w:t>1136</w:t>
      </w:r>
      <w:r w:rsidR="006E6FA4">
        <w:t>_INFORMACIÓN GENERAL DE LAS ENTIDADES Y ÓRGANOS DE CONTRATACIÓN (DIRECCIÓN DE CONTACTO, NÚMEROS DE TELÉFONO, DIRECCIÓN POSTAL Y CUENTA DE CORREO ELECTRÓNICO</w:t>
      </w:r>
    </w:p>
    <w:p w14:paraId="7E68A400" w14:textId="77777777" w:rsidR="0003164F" w:rsidRPr="0003164F" w:rsidRDefault="0003164F" w:rsidP="0003164F"/>
    <w:p w14:paraId="0F688A77" w14:textId="77777777" w:rsidR="006E6FA4" w:rsidRDefault="0003164F" w:rsidP="0003164F">
      <w:pPr>
        <w:pStyle w:val="Ttulo2"/>
      </w:pPr>
      <w:r>
        <w:t>INFORMACIÓN GENERAL</w:t>
      </w:r>
    </w:p>
    <w:p w14:paraId="3894B173" w14:textId="77777777" w:rsidR="00210046" w:rsidRDefault="00210046" w:rsidP="00210046"/>
    <w:tbl>
      <w:tblPr>
        <w:tblStyle w:val="Tablaconcuadrcula"/>
        <w:tblW w:w="0" w:type="auto"/>
        <w:tblLook w:val="04A0" w:firstRow="1" w:lastRow="0" w:firstColumn="1" w:lastColumn="0" w:noHBand="0" w:noVBand="1"/>
      </w:tblPr>
      <w:tblGrid>
        <w:gridCol w:w="2660"/>
        <w:gridCol w:w="5984"/>
      </w:tblGrid>
      <w:tr w:rsidR="00210046" w14:paraId="2F627026" w14:textId="77777777" w:rsidTr="00210046">
        <w:tc>
          <w:tcPr>
            <w:tcW w:w="8644" w:type="dxa"/>
            <w:gridSpan w:val="2"/>
            <w:shd w:val="clear" w:color="auto" w:fill="BFBFBF" w:themeFill="background1" w:themeFillShade="BF"/>
          </w:tcPr>
          <w:p w14:paraId="3B6867C9" w14:textId="77777777" w:rsidR="00210046" w:rsidRPr="00973FC3" w:rsidRDefault="00210046" w:rsidP="00973FC3">
            <w:pPr>
              <w:jc w:val="left"/>
              <w:rPr>
                <w:b/>
                <w:bCs/>
              </w:rPr>
            </w:pPr>
            <w:r w:rsidRPr="00973FC3">
              <w:rPr>
                <w:b/>
                <w:bCs/>
              </w:rPr>
              <w:t>SEDE ADMINISTRATIVA</w:t>
            </w:r>
          </w:p>
        </w:tc>
      </w:tr>
      <w:tr w:rsidR="00973FC3" w14:paraId="5C547039" w14:textId="77777777" w:rsidTr="00973FC3">
        <w:tc>
          <w:tcPr>
            <w:tcW w:w="2660" w:type="dxa"/>
          </w:tcPr>
          <w:p w14:paraId="6E752B62" w14:textId="77777777" w:rsidR="00973FC3" w:rsidRDefault="00973FC3" w:rsidP="00973FC3">
            <w:r>
              <w:t>Dirección:</w:t>
            </w:r>
          </w:p>
        </w:tc>
        <w:tc>
          <w:tcPr>
            <w:tcW w:w="5984" w:type="dxa"/>
            <w:shd w:val="clear" w:color="auto" w:fill="FFFFFF" w:themeFill="background1"/>
          </w:tcPr>
          <w:p w14:paraId="200E36AE" w14:textId="77777777" w:rsidR="00973FC3" w:rsidRDefault="00973FC3" w:rsidP="00973FC3">
            <w:r w:rsidRPr="0003164F">
              <w:rPr>
                <w:rFonts w:eastAsia="Times New Roman" w:cs="Arial"/>
                <w:lang w:eastAsia="es-ES"/>
              </w:rPr>
              <w:t>C/Villalba Hervás, 2, 1º dcha.</w:t>
            </w:r>
            <w:r>
              <w:rPr>
                <w:rFonts w:eastAsia="Times New Roman" w:cs="Arial"/>
                <w:lang w:eastAsia="es-ES"/>
              </w:rPr>
              <w:t xml:space="preserve"> </w:t>
            </w:r>
            <w:r w:rsidRPr="0003164F">
              <w:rPr>
                <w:rFonts w:eastAsia="Times New Roman" w:cs="Arial"/>
                <w:lang w:eastAsia="es-ES"/>
              </w:rPr>
              <w:t>38002 Santa Cruz de Tenerife</w:t>
            </w:r>
          </w:p>
        </w:tc>
      </w:tr>
      <w:tr w:rsidR="00973FC3" w14:paraId="4B74F243" w14:textId="77777777" w:rsidTr="00973FC3">
        <w:tc>
          <w:tcPr>
            <w:tcW w:w="2660" w:type="dxa"/>
          </w:tcPr>
          <w:p w14:paraId="2E6231B2" w14:textId="77777777" w:rsidR="00973FC3" w:rsidRDefault="00973FC3" w:rsidP="00973FC3">
            <w:r>
              <w:t>Horario:</w:t>
            </w:r>
          </w:p>
        </w:tc>
        <w:tc>
          <w:tcPr>
            <w:tcW w:w="5984" w:type="dxa"/>
          </w:tcPr>
          <w:p w14:paraId="08193E3A" w14:textId="77777777" w:rsidR="00973FC3" w:rsidRDefault="00973FC3" w:rsidP="00973FC3">
            <w:r w:rsidRPr="0003164F">
              <w:rPr>
                <w:rFonts w:eastAsia="Times New Roman" w:cs="Arial"/>
                <w:lang w:eastAsia="es-ES"/>
              </w:rPr>
              <w:t>08:00 a 15:00 </w:t>
            </w:r>
          </w:p>
        </w:tc>
      </w:tr>
      <w:tr w:rsidR="00973FC3" w14:paraId="5BCB7538" w14:textId="77777777" w:rsidTr="00973FC3">
        <w:tc>
          <w:tcPr>
            <w:tcW w:w="2660" w:type="dxa"/>
          </w:tcPr>
          <w:p w14:paraId="607EE136" w14:textId="77777777" w:rsidR="00973FC3" w:rsidRDefault="00973FC3" w:rsidP="00973FC3">
            <w:r>
              <w:t>Teléfono:</w:t>
            </w:r>
          </w:p>
        </w:tc>
        <w:tc>
          <w:tcPr>
            <w:tcW w:w="5984" w:type="dxa"/>
          </w:tcPr>
          <w:p w14:paraId="7E92AB88" w14:textId="77777777" w:rsidR="00973FC3" w:rsidRDefault="00973FC3" w:rsidP="00973FC3">
            <w:r w:rsidRPr="0003164F">
              <w:rPr>
                <w:rFonts w:eastAsia="Times New Roman" w:cs="Arial"/>
                <w:lang w:eastAsia="es-ES"/>
              </w:rPr>
              <w:t>922 53 34 87</w:t>
            </w:r>
          </w:p>
        </w:tc>
      </w:tr>
      <w:tr w:rsidR="00973FC3" w14:paraId="672B69B7" w14:textId="77777777" w:rsidTr="00973FC3">
        <w:tc>
          <w:tcPr>
            <w:tcW w:w="2660" w:type="dxa"/>
          </w:tcPr>
          <w:p w14:paraId="275CC614" w14:textId="77777777" w:rsidR="00973FC3" w:rsidRDefault="00973FC3" w:rsidP="00973FC3">
            <w:r>
              <w:t>Fax:</w:t>
            </w:r>
          </w:p>
        </w:tc>
        <w:tc>
          <w:tcPr>
            <w:tcW w:w="5984" w:type="dxa"/>
          </w:tcPr>
          <w:p w14:paraId="2D27B3D9" w14:textId="77777777" w:rsidR="00973FC3" w:rsidRDefault="00973FC3" w:rsidP="00973FC3">
            <w:r w:rsidRPr="0003164F">
              <w:rPr>
                <w:rFonts w:eastAsia="Times New Roman" w:cs="Arial"/>
                <w:lang w:eastAsia="es-ES"/>
              </w:rPr>
              <w:t>922 53 34 94</w:t>
            </w:r>
          </w:p>
        </w:tc>
      </w:tr>
      <w:tr w:rsidR="00973FC3" w14:paraId="505182E9" w14:textId="77777777" w:rsidTr="00973FC3">
        <w:tc>
          <w:tcPr>
            <w:tcW w:w="2660" w:type="dxa"/>
          </w:tcPr>
          <w:p w14:paraId="0783822D" w14:textId="77777777" w:rsidR="00973FC3" w:rsidRDefault="00973FC3" w:rsidP="00973FC3">
            <w:r>
              <w:t>Email:</w:t>
            </w:r>
          </w:p>
        </w:tc>
        <w:tc>
          <w:tcPr>
            <w:tcW w:w="5984" w:type="dxa"/>
          </w:tcPr>
          <w:p w14:paraId="5B25B304" w14:textId="77777777" w:rsidR="00973FC3" w:rsidRPr="00973FC3" w:rsidRDefault="005B4276" w:rsidP="00973FC3">
            <w:pPr>
              <w:rPr>
                <w:rFonts w:eastAsia="Times New Roman" w:cs="Arial"/>
                <w:lang w:eastAsia="es-ES"/>
              </w:rPr>
            </w:pPr>
            <w:hyperlink r:id="rId7" w:history="1">
              <w:r w:rsidR="00973FC3" w:rsidRPr="0003164F">
                <w:rPr>
                  <w:rStyle w:val="Hipervnculo"/>
                  <w:rFonts w:eastAsia="Times New Roman" w:cs="Arial"/>
                  <w:color w:val="auto"/>
                  <w:lang w:eastAsia="es-ES"/>
                </w:rPr>
                <w:t>administracion@bomberostenerife.com</w:t>
              </w:r>
            </w:hyperlink>
          </w:p>
        </w:tc>
      </w:tr>
    </w:tbl>
    <w:p w14:paraId="6217F20B" w14:textId="77777777" w:rsidR="00210046" w:rsidRPr="00210046" w:rsidRDefault="00210046" w:rsidP="00210046"/>
    <w:p w14:paraId="4BAD8230" w14:textId="026280DA" w:rsidR="0003164F" w:rsidRDefault="0003164F" w:rsidP="0003164F">
      <w:pPr>
        <w:spacing w:before="240"/>
      </w:pPr>
      <w:r>
        <w:rPr>
          <w:lang w:eastAsia="es-ES"/>
        </w:rPr>
        <w:t xml:space="preserve">Para </w:t>
      </w:r>
      <w:r w:rsidRPr="009A6FAE">
        <w:rPr>
          <w:lang w:eastAsia="es-ES"/>
        </w:rPr>
        <w:t>un mejor conocimiento de sus competencias y ámbito de actuación, puede consultar las mismas en los Estatutos y en las Bases de Ejecución del Presupuesto del CONSORCIO DE PREVENCION, EXTINCION DE INCENDIOS Y SALVAMENTO DE LA ISLA DE TENERIFE</w:t>
      </w:r>
      <w:r>
        <w:rPr>
          <w:lang w:eastAsia="es-ES"/>
        </w:rPr>
        <w:t>:</w:t>
      </w:r>
    </w:p>
    <w:p w14:paraId="5A683E62" w14:textId="77777777" w:rsidR="0003164F" w:rsidRDefault="0003164F" w:rsidP="0003164F"/>
    <w:tbl>
      <w:tblPr>
        <w:tblW w:w="8633" w:type="dxa"/>
        <w:tblCellMar>
          <w:top w:w="15" w:type="dxa"/>
          <w:left w:w="15" w:type="dxa"/>
          <w:bottom w:w="15" w:type="dxa"/>
          <w:right w:w="15" w:type="dxa"/>
        </w:tblCellMar>
        <w:tblLook w:val="04A0" w:firstRow="1" w:lastRow="0" w:firstColumn="1" w:lastColumn="0" w:noHBand="0" w:noVBand="1"/>
      </w:tblPr>
      <w:tblGrid>
        <w:gridCol w:w="5556"/>
        <w:gridCol w:w="3077"/>
      </w:tblGrid>
      <w:tr w:rsidR="0003164F" w:rsidRPr="009A6FAE" w14:paraId="4E6E3B68" w14:textId="77777777" w:rsidTr="0003164F">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hideMark/>
          </w:tcPr>
          <w:p w14:paraId="6C2E125C" w14:textId="77777777" w:rsidR="0003164F" w:rsidRPr="009A6FAE" w:rsidRDefault="0003164F" w:rsidP="0003164F">
            <w:pPr>
              <w:rPr>
                <w:rFonts w:eastAsia="Times New Roman" w:cs="Arial"/>
                <w:lang w:eastAsia="es-ES"/>
              </w:rPr>
            </w:pPr>
            <w:r w:rsidRPr="009A6FAE">
              <w:rPr>
                <w:rFonts w:eastAsia="Times New Roman" w:cs="Arial"/>
                <w:b/>
                <w:bCs/>
                <w:lang w:eastAsia="es-ES"/>
              </w:rPr>
              <w:t>ESTATUTOS</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hideMark/>
          </w:tcPr>
          <w:p w14:paraId="3E834EAE" w14:textId="77777777" w:rsidR="0003164F" w:rsidRPr="009A6FAE" w:rsidRDefault="0003164F" w:rsidP="0003164F">
            <w:pPr>
              <w:rPr>
                <w:rFonts w:eastAsia="Times New Roman" w:cs="Arial"/>
                <w:lang w:eastAsia="es-ES"/>
              </w:rPr>
            </w:pPr>
            <w:r w:rsidRPr="009A6FAE">
              <w:rPr>
                <w:rFonts w:eastAsia="Times New Roman" w:cs="Arial"/>
                <w:b/>
                <w:bCs/>
                <w:lang w:eastAsia="es-ES"/>
              </w:rPr>
              <w:t>Órganos </w:t>
            </w:r>
          </w:p>
        </w:tc>
      </w:tr>
      <w:tr w:rsidR="0003164F" w:rsidRPr="009A6FAE" w14:paraId="1205BE40" w14:textId="77777777" w:rsidTr="0003164F">
        <w:trPr>
          <w:trHeight w:val="26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E9E895" w14:textId="77777777" w:rsidR="0003164F" w:rsidRPr="009A6FAE" w:rsidRDefault="0003164F" w:rsidP="0003164F">
            <w:pPr>
              <w:rPr>
                <w:rFonts w:eastAsia="Times New Roman" w:cs="Arial"/>
                <w:lang w:eastAsia="es-ES"/>
              </w:rPr>
            </w:pPr>
            <w:r w:rsidRPr="009A6FAE">
              <w:rPr>
                <w:rFonts w:eastAsia="Times New Roman" w:cs="Arial"/>
                <w:b/>
                <w:bCs/>
                <w:color w:val="000000"/>
                <w:lang w:eastAsia="es-ES"/>
              </w:rPr>
              <w:t>Órgano de GOBIERNO, artículo 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8C9A3C" w14:textId="77777777" w:rsidR="0003164F" w:rsidRPr="009A6FAE" w:rsidRDefault="005B4276" w:rsidP="0003164F">
            <w:pPr>
              <w:rPr>
                <w:rFonts w:eastAsia="Times New Roman" w:cs="Arial"/>
                <w:lang w:eastAsia="es-ES"/>
              </w:rPr>
            </w:pPr>
            <w:hyperlink r:id="rId8" w:history="1">
              <w:r w:rsidR="0003164F" w:rsidRPr="009A6FAE">
                <w:rPr>
                  <w:rFonts w:eastAsia="Times New Roman" w:cs="Arial"/>
                  <w:color w:val="1155CC"/>
                  <w:u w:val="single"/>
                  <w:lang w:eastAsia="es-ES"/>
                </w:rPr>
                <w:t>PLENO</w:t>
              </w:r>
            </w:hyperlink>
          </w:p>
        </w:tc>
      </w:tr>
      <w:tr w:rsidR="0003164F" w:rsidRPr="009A6FAE" w14:paraId="15DAE4F8" w14:textId="77777777" w:rsidTr="0003164F">
        <w:trPr>
          <w:trHeight w:val="26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60578C" w14:textId="77777777" w:rsidR="0003164F" w:rsidRPr="009A6FAE" w:rsidRDefault="0003164F" w:rsidP="0003164F">
            <w:pPr>
              <w:rPr>
                <w:rFonts w:eastAsia="Times New Roman" w:cs="Arial"/>
                <w:lang w:eastAsia="es-ES"/>
              </w:rPr>
            </w:pPr>
            <w:r w:rsidRPr="009A6FAE">
              <w:rPr>
                <w:rFonts w:eastAsia="Times New Roman" w:cs="Arial"/>
                <w:b/>
                <w:bCs/>
                <w:color w:val="000000"/>
                <w:lang w:eastAsia="es-ES"/>
              </w:rPr>
              <w:t>Órgano de GOBIERNO, artículo 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0B5579" w14:textId="77777777" w:rsidR="0003164F" w:rsidRPr="009A6FAE" w:rsidRDefault="005B4276" w:rsidP="0003164F">
            <w:pPr>
              <w:rPr>
                <w:rFonts w:eastAsia="Times New Roman" w:cs="Arial"/>
                <w:lang w:eastAsia="es-ES"/>
              </w:rPr>
            </w:pPr>
            <w:hyperlink r:id="rId9" w:history="1">
              <w:r w:rsidR="0003164F" w:rsidRPr="009A6FAE">
                <w:rPr>
                  <w:rFonts w:eastAsia="Times New Roman" w:cs="Arial"/>
                  <w:color w:val="1155CC"/>
                  <w:u w:val="single"/>
                  <w:lang w:eastAsia="es-ES"/>
                </w:rPr>
                <w:t>COMITÉ EJECUTIVO</w:t>
              </w:r>
            </w:hyperlink>
          </w:p>
        </w:tc>
      </w:tr>
      <w:tr w:rsidR="0003164F" w:rsidRPr="009A6FAE" w14:paraId="1BAA5AF6" w14:textId="77777777" w:rsidTr="0003164F">
        <w:trPr>
          <w:trHeight w:val="26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8EAD27" w14:textId="77777777" w:rsidR="0003164F" w:rsidRPr="009A6FAE" w:rsidRDefault="0003164F" w:rsidP="0003164F">
            <w:pPr>
              <w:rPr>
                <w:rFonts w:eastAsia="Times New Roman" w:cs="Arial"/>
                <w:lang w:eastAsia="es-ES"/>
              </w:rPr>
            </w:pPr>
            <w:r w:rsidRPr="009A6FAE">
              <w:rPr>
                <w:rFonts w:eastAsia="Times New Roman" w:cs="Arial"/>
                <w:b/>
                <w:bCs/>
                <w:color w:val="000000"/>
                <w:lang w:eastAsia="es-ES"/>
              </w:rPr>
              <w:t>Órgano de GOBIERNO, artículo 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956757" w14:textId="77777777" w:rsidR="0003164F" w:rsidRPr="009A6FAE" w:rsidRDefault="005B4276" w:rsidP="0003164F">
            <w:pPr>
              <w:rPr>
                <w:rFonts w:eastAsia="Times New Roman" w:cs="Arial"/>
                <w:lang w:eastAsia="es-ES"/>
              </w:rPr>
            </w:pPr>
            <w:hyperlink r:id="rId10" w:history="1">
              <w:r w:rsidR="0003164F" w:rsidRPr="009A6FAE">
                <w:rPr>
                  <w:rFonts w:eastAsia="Times New Roman" w:cs="Arial"/>
                  <w:color w:val="1155CC"/>
                  <w:u w:val="single"/>
                  <w:lang w:eastAsia="es-ES"/>
                </w:rPr>
                <w:t>PRESIDENTE</w:t>
              </w:r>
            </w:hyperlink>
          </w:p>
        </w:tc>
      </w:tr>
      <w:tr w:rsidR="0003164F" w:rsidRPr="009A6FAE" w14:paraId="148825B1" w14:textId="77777777" w:rsidTr="0003164F">
        <w:trPr>
          <w:trHeight w:val="26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70477C" w14:textId="77777777" w:rsidR="0003164F" w:rsidRPr="009A6FAE" w:rsidRDefault="0003164F" w:rsidP="0003164F">
            <w:pPr>
              <w:rPr>
                <w:rFonts w:eastAsia="Times New Roman" w:cs="Arial"/>
                <w:lang w:eastAsia="es-ES"/>
              </w:rPr>
            </w:pPr>
            <w:r w:rsidRPr="009A6FAE">
              <w:rPr>
                <w:rFonts w:eastAsia="Times New Roman" w:cs="Arial"/>
                <w:b/>
                <w:bCs/>
                <w:color w:val="000000"/>
                <w:lang w:eastAsia="es-ES"/>
              </w:rPr>
              <w:t>Órgano ADMINISTRACIÓN, artículo 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73621E" w14:textId="77777777" w:rsidR="0003164F" w:rsidRPr="009A6FAE" w:rsidRDefault="005B4276" w:rsidP="0003164F">
            <w:pPr>
              <w:rPr>
                <w:rFonts w:eastAsia="Times New Roman" w:cs="Arial"/>
                <w:lang w:eastAsia="es-ES"/>
              </w:rPr>
            </w:pPr>
            <w:hyperlink r:id="rId11" w:history="1">
              <w:r w:rsidR="0003164F" w:rsidRPr="009A6FAE">
                <w:rPr>
                  <w:rFonts w:eastAsia="Times New Roman" w:cs="Arial"/>
                  <w:color w:val="1155CC"/>
                  <w:u w:val="single"/>
                  <w:lang w:eastAsia="es-ES"/>
                </w:rPr>
                <w:t>GERENTE</w:t>
              </w:r>
            </w:hyperlink>
          </w:p>
        </w:tc>
      </w:tr>
    </w:tbl>
    <w:p w14:paraId="461AB677" w14:textId="77777777" w:rsidR="0003164F" w:rsidRDefault="0003164F" w:rsidP="0003164F"/>
    <w:tbl>
      <w:tblPr>
        <w:tblW w:w="8652" w:type="dxa"/>
        <w:tblCellMar>
          <w:top w:w="15" w:type="dxa"/>
          <w:left w:w="15" w:type="dxa"/>
          <w:bottom w:w="15" w:type="dxa"/>
          <w:right w:w="15" w:type="dxa"/>
        </w:tblCellMar>
        <w:tblLook w:val="04A0" w:firstRow="1" w:lastRow="0" w:firstColumn="1" w:lastColumn="0" w:noHBand="0" w:noVBand="1"/>
      </w:tblPr>
      <w:tblGrid>
        <w:gridCol w:w="4893"/>
        <w:gridCol w:w="3759"/>
      </w:tblGrid>
      <w:tr w:rsidR="0003164F" w:rsidRPr="009A6FAE" w14:paraId="22A3E91F" w14:textId="77777777" w:rsidTr="00D77ABE">
        <w:trPr>
          <w:trHeight w:val="234"/>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hideMark/>
          </w:tcPr>
          <w:p w14:paraId="09D6D1CB" w14:textId="77777777" w:rsidR="0003164F" w:rsidRPr="009A6FAE" w:rsidRDefault="0003164F" w:rsidP="0003164F">
            <w:pPr>
              <w:rPr>
                <w:rFonts w:eastAsia="Times New Roman" w:cs="Arial"/>
                <w:lang w:eastAsia="es-ES"/>
              </w:rPr>
            </w:pPr>
            <w:r w:rsidRPr="009A6FAE">
              <w:rPr>
                <w:rFonts w:eastAsia="Times New Roman" w:cs="Arial"/>
                <w:b/>
                <w:bCs/>
                <w:lang w:eastAsia="es-ES"/>
              </w:rPr>
              <w:t>BASES EJECUCIÓN  Presupuesto general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hideMark/>
          </w:tcPr>
          <w:p w14:paraId="113B1511" w14:textId="77777777" w:rsidR="0003164F" w:rsidRPr="009A6FAE" w:rsidRDefault="0003164F" w:rsidP="0003164F">
            <w:pPr>
              <w:rPr>
                <w:rFonts w:eastAsia="Times New Roman" w:cs="Arial"/>
                <w:lang w:eastAsia="es-ES"/>
              </w:rPr>
            </w:pPr>
            <w:r w:rsidRPr="009A6FAE">
              <w:rPr>
                <w:rFonts w:eastAsia="Times New Roman" w:cs="Arial"/>
                <w:b/>
                <w:bCs/>
                <w:lang w:eastAsia="es-ES"/>
              </w:rPr>
              <w:t>ÓRGANOS DE CONTRATACIÓN</w:t>
            </w:r>
          </w:p>
        </w:tc>
      </w:tr>
      <w:tr w:rsidR="0003164F" w:rsidRPr="009A6FAE" w14:paraId="7D377DC5" w14:textId="77777777" w:rsidTr="0003164F">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3309BB" w14:textId="77777777" w:rsidR="0003164F" w:rsidRPr="009A6FAE" w:rsidRDefault="0003164F" w:rsidP="0013590A">
            <w:pPr>
              <w:rPr>
                <w:rFonts w:eastAsia="Times New Roman" w:cs="Arial"/>
                <w:lang w:eastAsia="es-ES"/>
              </w:rPr>
            </w:pPr>
            <w:r w:rsidRPr="009A6FAE">
              <w:rPr>
                <w:rFonts w:eastAsia="Times New Roman" w:cs="Arial"/>
                <w:b/>
                <w:bCs/>
                <w:color w:val="000000"/>
                <w:lang w:eastAsia="es-ES"/>
              </w:rPr>
              <w:t>Órganos de Contratación,</w:t>
            </w:r>
            <w:r w:rsidR="0013590A">
              <w:rPr>
                <w:rFonts w:eastAsia="Times New Roman" w:cs="Arial"/>
                <w:b/>
                <w:bCs/>
                <w:color w:val="000000"/>
                <w:lang w:eastAsia="es-ES"/>
              </w:rPr>
              <w:t xml:space="preserve"> </w:t>
            </w:r>
            <w:r w:rsidRPr="009A6FAE">
              <w:rPr>
                <w:rFonts w:eastAsia="Times New Roman" w:cs="Arial"/>
                <w:b/>
                <w:bCs/>
                <w:color w:val="000000"/>
                <w:lang w:eastAsia="es-ES"/>
              </w:rPr>
              <w:t>base 1</w:t>
            </w:r>
            <w:r w:rsidR="00D05327">
              <w:rPr>
                <w:rFonts w:eastAsia="Times New Roman" w:cs="Arial"/>
                <w:b/>
                <w:bCs/>
                <w:color w:val="000000"/>
                <w:lang w:eastAsia="es-E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08F8A5" w14:textId="77777777" w:rsidR="0003164F" w:rsidRPr="009A6FAE" w:rsidRDefault="005B4276" w:rsidP="0003164F">
            <w:pPr>
              <w:rPr>
                <w:rFonts w:eastAsia="Times New Roman" w:cs="Arial"/>
                <w:lang w:eastAsia="es-ES"/>
              </w:rPr>
            </w:pPr>
            <w:hyperlink r:id="rId12" w:history="1">
              <w:r w:rsidR="0003164F" w:rsidRPr="00D05327">
                <w:rPr>
                  <w:rStyle w:val="Hipervnculo"/>
                  <w:rFonts w:eastAsia="Times New Roman" w:cs="Arial"/>
                  <w:lang w:eastAsia="es-ES"/>
                </w:rPr>
                <w:t>COMITÉ EJECUTIVO</w:t>
              </w:r>
            </w:hyperlink>
          </w:p>
        </w:tc>
      </w:tr>
      <w:tr w:rsidR="0003164F" w:rsidRPr="009A6FAE" w14:paraId="53477A02" w14:textId="77777777" w:rsidTr="0003164F">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E0F8BC" w14:textId="77777777" w:rsidR="0003164F" w:rsidRPr="009A6FAE" w:rsidRDefault="0003164F" w:rsidP="0013590A">
            <w:pPr>
              <w:rPr>
                <w:rFonts w:eastAsia="Times New Roman" w:cs="Arial"/>
                <w:lang w:eastAsia="es-ES"/>
              </w:rPr>
            </w:pPr>
            <w:r w:rsidRPr="009A6FAE">
              <w:rPr>
                <w:rFonts w:eastAsia="Times New Roman" w:cs="Arial"/>
                <w:b/>
                <w:bCs/>
                <w:color w:val="000000"/>
                <w:lang w:eastAsia="es-ES"/>
              </w:rPr>
              <w:t>Órganos de Contratación,</w:t>
            </w:r>
            <w:r w:rsidR="0013590A">
              <w:rPr>
                <w:rFonts w:eastAsia="Times New Roman" w:cs="Arial"/>
                <w:b/>
                <w:bCs/>
                <w:color w:val="000000"/>
                <w:lang w:eastAsia="es-ES"/>
              </w:rPr>
              <w:t xml:space="preserve"> </w:t>
            </w:r>
            <w:r w:rsidRPr="009A6FAE">
              <w:rPr>
                <w:rFonts w:eastAsia="Times New Roman" w:cs="Arial"/>
                <w:b/>
                <w:bCs/>
                <w:color w:val="000000"/>
                <w:lang w:eastAsia="es-ES"/>
              </w:rPr>
              <w:t>base 1</w:t>
            </w:r>
            <w:r w:rsidR="00D05327">
              <w:rPr>
                <w:rFonts w:eastAsia="Times New Roman" w:cs="Arial"/>
                <w:b/>
                <w:bCs/>
                <w:color w:val="000000"/>
                <w:lang w:eastAsia="es-E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B31C09" w14:textId="77777777" w:rsidR="0003164F" w:rsidRPr="009A6FAE" w:rsidRDefault="005B4276" w:rsidP="0003164F">
            <w:pPr>
              <w:rPr>
                <w:rFonts w:eastAsia="Times New Roman" w:cs="Arial"/>
                <w:lang w:eastAsia="es-ES"/>
              </w:rPr>
            </w:pPr>
            <w:hyperlink r:id="rId13" w:history="1">
              <w:r w:rsidR="0003164F" w:rsidRPr="00D05327">
                <w:rPr>
                  <w:rStyle w:val="Hipervnculo"/>
                  <w:rFonts w:eastAsia="Times New Roman" w:cs="Arial"/>
                  <w:lang w:eastAsia="es-ES"/>
                </w:rPr>
                <w:t>GERENTE</w:t>
              </w:r>
            </w:hyperlink>
          </w:p>
        </w:tc>
      </w:tr>
    </w:tbl>
    <w:p w14:paraId="7820786A" w14:textId="77777777" w:rsidR="0003164F" w:rsidRDefault="0003164F" w:rsidP="0003164F"/>
    <w:p w14:paraId="10B8649C" w14:textId="77777777" w:rsidR="0013590A" w:rsidRDefault="0013590A" w:rsidP="0003164F"/>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7"/>
        <w:gridCol w:w="6890"/>
      </w:tblGrid>
      <w:tr w:rsidR="00C01D28" w:rsidRPr="009A6FAE" w14:paraId="28B76557" w14:textId="77777777" w:rsidTr="00C01D28">
        <w:trPr>
          <w:trHeight w:val="551"/>
        </w:trPr>
        <w:tc>
          <w:tcPr>
            <w:tcW w:w="1827" w:type="dxa"/>
            <w:shd w:val="clear" w:color="auto" w:fill="BFBFBF" w:themeFill="background1" w:themeFillShade="BF"/>
            <w:tcMar>
              <w:top w:w="0" w:type="dxa"/>
              <w:left w:w="70" w:type="dxa"/>
              <w:bottom w:w="0" w:type="dxa"/>
              <w:right w:w="70" w:type="dxa"/>
            </w:tcMar>
          </w:tcPr>
          <w:p w14:paraId="0CF86FF2" w14:textId="77777777" w:rsidR="00C01D28" w:rsidRPr="0013590A" w:rsidRDefault="00C01D28" w:rsidP="007012D5">
            <w:pPr>
              <w:spacing w:before="240"/>
              <w:jc w:val="center"/>
              <w:rPr>
                <w:b/>
              </w:rPr>
            </w:pPr>
            <w:r>
              <w:rPr>
                <w:b/>
              </w:rPr>
              <w:t>ORGANO</w:t>
            </w:r>
          </w:p>
        </w:tc>
        <w:tc>
          <w:tcPr>
            <w:tcW w:w="6890" w:type="dxa"/>
            <w:shd w:val="clear" w:color="auto" w:fill="BFBFBF" w:themeFill="background1" w:themeFillShade="BF"/>
            <w:tcMar>
              <w:top w:w="0" w:type="dxa"/>
              <w:left w:w="70" w:type="dxa"/>
              <w:bottom w:w="0" w:type="dxa"/>
              <w:right w:w="70" w:type="dxa"/>
            </w:tcMar>
          </w:tcPr>
          <w:p w14:paraId="31EB3E07" w14:textId="77777777" w:rsidR="00C01D28" w:rsidRPr="007012D5" w:rsidRDefault="00C01D28" w:rsidP="007012D5">
            <w:pPr>
              <w:tabs>
                <w:tab w:val="left" w:pos="1134"/>
              </w:tabs>
              <w:adjustRightInd w:val="0"/>
              <w:spacing w:before="240"/>
              <w:jc w:val="center"/>
              <w:rPr>
                <w:rFonts w:cs="Arial"/>
                <w:b/>
                <w:bCs/>
                <w:snapToGrid w:val="0"/>
                <w:lang w:val="es-MX"/>
              </w:rPr>
            </w:pPr>
            <w:r w:rsidRPr="007012D5">
              <w:rPr>
                <w:rFonts w:cs="Arial"/>
                <w:b/>
                <w:bCs/>
                <w:snapToGrid w:val="0"/>
                <w:lang w:val="es-MX"/>
              </w:rPr>
              <w:t>UMBRAL DE LA AUTORIZACIÓN DE GASTOS</w:t>
            </w:r>
          </w:p>
        </w:tc>
      </w:tr>
      <w:tr w:rsidR="0013590A" w:rsidRPr="009A6FAE" w14:paraId="166DBAC4" w14:textId="77777777" w:rsidTr="00C01D28">
        <w:trPr>
          <w:trHeight w:val="551"/>
        </w:trPr>
        <w:tc>
          <w:tcPr>
            <w:tcW w:w="1827" w:type="dxa"/>
            <w:shd w:val="clear" w:color="auto" w:fill="BFBFBF" w:themeFill="background1" w:themeFillShade="BF"/>
            <w:tcMar>
              <w:top w:w="0" w:type="dxa"/>
              <w:left w:w="70" w:type="dxa"/>
              <w:bottom w:w="0" w:type="dxa"/>
              <w:right w:w="70" w:type="dxa"/>
            </w:tcMar>
            <w:hideMark/>
          </w:tcPr>
          <w:p w14:paraId="1EB7896F" w14:textId="77777777" w:rsidR="0013590A" w:rsidRPr="0013590A" w:rsidRDefault="0013590A" w:rsidP="0038514D">
            <w:pPr>
              <w:spacing w:before="240"/>
              <w:rPr>
                <w:b/>
              </w:rPr>
            </w:pPr>
            <w:r w:rsidRPr="0013590A">
              <w:rPr>
                <w:b/>
              </w:rPr>
              <w:t>GERENTE</w:t>
            </w:r>
          </w:p>
          <w:p w14:paraId="02201E1A" w14:textId="77777777" w:rsidR="0013590A" w:rsidRDefault="0013590A" w:rsidP="0038514D">
            <w:pPr>
              <w:spacing w:before="240"/>
              <w:rPr>
                <w:rFonts w:eastAsia="Times New Roman" w:cs="Arial"/>
                <w:b/>
                <w:bCs/>
                <w:lang w:eastAsia="es-ES"/>
              </w:rPr>
            </w:pPr>
          </w:p>
          <w:p w14:paraId="252F7675" w14:textId="77777777" w:rsidR="0013590A" w:rsidRPr="009A6FAE" w:rsidRDefault="0013590A" w:rsidP="0038514D">
            <w:pPr>
              <w:spacing w:before="240"/>
              <w:rPr>
                <w:rFonts w:eastAsia="Times New Roman" w:cs="Arial"/>
                <w:lang w:eastAsia="es-ES"/>
              </w:rPr>
            </w:pPr>
          </w:p>
        </w:tc>
        <w:tc>
          <w:tcPr>
            <w:tcW w:w="6890" w:type="dxa"/>
            <w:tcMar>
              <w:top w:w="0" w:type="dxa"/>
              <w:left w:w="70" w:type="dxa"/>
              <w:bottom w:w="0" w:type="dxa"/>
              <w:right w:w="70" w:type="dxa"/>
            </w:tcMar>
            <w:hideMark/>
          </w:tcPr>
          <w:p w14:paraId="28E02406" w14:textId="77777777" w:rsidR="0013590A" w:rsidRPr="0013590A" w:rsidRDefault="0013590A" w:rsidP="0013590A">
            <w:pPr>
              <w:pStyle w:val="Prrafodelista"/>
              <w:numPr>
                <w:ilvl w:val="0"/>
                <w:numId w:val="4"/>
              </w:numPr>
              <w:tabs>
                <w:tab w:val="left" w:pos="1134"/>
              </w:tabs>
              <w:adjustRightInd w:val="0"/>
              <w:spacing w:before="240"/>
              <w:ind w:left="589"/>
              <w:jc w:val="both"/>
              <w:rPr>
                <w:rFonts w:ascii="Arial" w:hAnsi="Arial" w:cs="Arial"/>
                <w:snapToGrid w:val="0"/>
                <w:szCs w:val="18"/>
                <w:lang w:val="es-MX"/>
              </w:rPr>
            </w:pPr>
            <w:r w:rsidRPr="0013590A">
              <w:rPr>
                <w:rFonts w:ascii="Arial" w:hAnsi="Arial" w:cs="Arial"/>
                <w:snapToGrid w:val="0"/>
                <w:szCs w:val="18"/>
                <w:lang w:val="es-MX"/>
              </w:rPr>
              <w:t>La autorización de contratos hasta 60.000,00 euros, siempre que no exijan recursos superiores a los consignados en el presupuesto anual.</w:t>
            </w:r>
          </w:p>
          <w:p w14:paraId="39D2C988" w14:textId="77777777" w:rsidR="0013590A" w:rsidRPr="0013590A" w:rsidRDefault="0013590A" w:rsidP="0013590A">
            <w:pPr>
              <w:pStyle w:val="Prrafodelista"/>
              <w:tabs>
                <w:tab w:val="left" w:pos="1134"/>
              </w:tabs>
              <w:adjustRightInd w:val="0"/>
              <w:spacing w:before="240"/>
              <w:ind w:left="589"/>
              <w:jc w:val="both"/>
              <w:rPr>
                <w:rFonts w:ascii="Arial" w:hAnsi="Arial" w:cs="Arial"/>
                <w:snapToGrid w:val="0"/>
                <w:szCs w:val="18"/>
                <w:lang w:val="es-MX"/>
              </w:rPr>
            </w:pPr>
          </w:p>
          <w:p w14:paraId="668A2798" w14:textId="77777777" w:rsidR="0013590A" w:rsidRPr="0013590A" w:rsidRDefault="0013590A" w:rsidP="0013590A">
            <w:pPr>
              <w:pStyle w:val="Prrafodelista"/>
              <w:numPr>
                <w:ilvl w:val="0"/>
                <w:numId w:val="4"/>
              </w:numPr>
              <w:tabs>
                <w:tab w:val="left" w:pos="1134"/>
              </w:tabs>
              <w:adjustRightInd w:val="0"/>
              <w:spacing w:before="240"/>
              <w:ind w:left="589"/>
              <w:jc w:val="both"/>
              <w:rPr>
                <w:rFonts w:ascii="Arial" w:hAnsi="Arial" w:cs="Arial"/>
                <w:snapToGrid w:val="0"/>
                <w:szCs w:val="18"/>
                <w:lang w:val="es-MX"/>
              </w:rPr>
            </w:pPr>
            <w:r w:rsidRPr="0013590A">
              <w:rPr>
                <w:rFonts w:ascii="Arial" w:hAnsi="Arial" w:cs="Arial"/>
                <w:snapToGrid w:val="0"/>
                <w:szCs w:val="18"/>
                <w:lang w:val="es-MX"/>
              </w:rPr>
              <w:t xml:space="preserve">La autorización de gastos hasta 60.000,00 euros de </w:t>
            </w:r>
            <w:r w:rsidRPr="0013590A">
              <w:rPr>
                <w:rFonts w:ascii="Arial" w:hAnsi="Arial" w:cs="Arial"/>
                <w:snapToGrid w:val="0"/>
                <w:szCs w:val="18"/>
                <w:u w:val="single"/>
                <w:lang w:val="es-MX"/>
              </w:rPr>
              <w:t>carácter plurianual</w:t>
            </w:r>
            <w:r w:rsidRPr="0013590A">
              <w:rPr>
                <w:rFonts w:ascii="Arial" w:hAnsi="Arial" w:cs="Arial"/>
                <w:snapToGrid w:val="0"/>
                <w:szCs w:val="18"/>
                <w:lang w:val="es-MX"/>
              </w:rPr>
              <w:t>, es decir, de aquellos que hayan de extenderse a ejercicios posteriores a aquel en que se autorice, siempre que su ejecución se inicie en el propio ejercicio.</w:t>
            </w:r>
          </w:p>
          <w:p w14:paraId="5D1DCD1B" w14:textId="77777777" w:rsidR="0013590A" w:rsidRPr="0013590A" w:rsidRDefault="0013590A" w:rsidP="0013590A">
            <w:pPr>
              <w:pStyle w:val="Prrafodelista"/>
              <w:ind w:left="589"/>
              <w:jc w:val="both"/>
              <w:rPr>
                <w:rFonts w:ascii="Arial" w:hAnsi="Arial" w:cs="Arial"/>
                <w:snapToGrid w:val="0"/>
                <w:szCs w:val="18"/>
                <w:lang w:val="es-MX"/>
              </w:rPr>
            </w:pPr>
          </w:p>
          <w:p w14:paraId="5B526B4F" w14:textId="77777777" w:rsidR="0013590A" w:rsidRPr="0013590A" w:rsidRDefault="0013590A" w:rsidP="0013590A">
            <w:pPr>
              <w:pStyle w:val="Prrafodelista"/>
              <w:tabs>
                <w:tab w:val="left" w:pos="1134"/>
              </w:tabs>
              <w:adjustRightInd w:val="0"/>
              <w:ind w:left="589"/>
              <w:jc w:val="both"/>
              <w:rPr>
                <w:rFonts w:ascii="Arial" w:hAnsi="Arial" w:cs="Arial"/>
                <w:snapToGrid w:val="0"/>
                <w:szCs w:val="18"/>
                <w:lang w:val="es-MX"/>
              </w:rPr>
            </w:pPr>
            <w:r w:rsidRPr="0013590A">
              <w:rPr>
                <w:rFonts w:ascii="Arial" w:hAnsi="Arial" w:cs="Arial"/>
                <w:snapToGrid w:val="0"/>
                <w:szCs w:val="18"/>
                <w:lang w:val="es-MX"/>
              </w:rPr>
              <w:lastRenderedPageBreak/>
              <w:t>En el caso de los gastos plurianuales inferiores a 15.000,00 euros, el Consorcio deberá informar al Excmo. Cabildo Insular de Tenerife, sobre la propuesta de compromiso de gasto plurianual aprobada por el Gerente del Consorcio.</w:t>
            </w:r>
          </w:p>
          <w:p w14:paraId="03EBA220" w14:textId="77777777" w:rsidR="0013590A" w:rsidRPr="0013590A" w:rsidRDefault="0013590A" w:rsidP="0013590A">
            <w:pPr>
              <w:pStyle w:val="Prrafodelista"/>
              <w:tabs>
                <w:tab w:val="left" w:pos="1134"/>
              </w:tabs>
              <w:adjustRightInd w:val="0"/>
              <w:spacing w:before="240"/>
              <w:ind w:left="589"/>
              <w:jc w:val="both"/>
              <w:rPr>
                <w:rFonts w:ascii="Arial" w:hAnsi="Arial" w:cs="Arial"/>
                <w:snapToGrid w:val="0"/>
                <w:szCs w:val="18"/>
                <w:lang w:val="es-MX"/>
              </w:rPr>
            </w:pPr>
          </w:p>
          <w:p w14:paraId="01B752BC" w14:textId="77777777" w:rsidR="0013590A" w:rsidRPr="0013590A" w:rsidRDefault="0013590A" w:rsidP="0013590A">
            <w:pPr>
              <w:pStyle w:val="Prrafodelista"/>
              <w:tabs>
                <w:tab w:val="left" w:pos="1134"/>
              </w:tabs>
              <w:adjustRightInd w:val="0"/>
              <w:spacing w:before="240"/>
              <w:ind w:left="589"/>
              <w:jc w:val="both"/>
              <w:rPr>
                <w:rFonts w:ascii="Arial" w:hAnsi="Arial" w:cs="Arial"/>
                <w:snapToGrid w:val="0"/>
                <w:szCs w:val="18"/>
                <w:lang w:val="es-MX"/>
              </w:rPr>
            </w:pPr>
            <w:r w:rsidRPr="0013590A">
              <w:rPr>
                <w:rFonts w:ascii="Arial" w:hAnsi="Arial" w:cs="Arial"/>
                <w:snapToGrid w:val="0"/>
                <w:szCs w:val="18"/>
                <w:lang w:val="es-MX"/>
              </w:rPr>
              <w:t>En el caso de los gastos plurianuales superiores a 15.000,00 euros, será preciso, con carácter previo a su autorización, la elaboración de un informe por parte de la Unidad económico-financiera del Consorcio. Además, se remitirá al Consejo de Gobierno Insular del Excmo. Cabildo Insular de Tenerife, el citado informe así como la propuesta de compromiso de gasto plurianual aprobado por el citado órgano del Consorcio, al objeto de su aprobación definitiva.</w:t>
            </w:r>
          </w:p>
          <w:p w14:paraId="70EDB71B" w14:textId="77777777" w:rsidR="0013590A" w:rsidRPr="0013590A" w:rsidRDefault="0013590A" w:rsidP="0013590A">
            <w:pPr>
              <w:pStyle w:val="Prrafodelista"/>
              <w:tabs>
                <w:tab w:val="left" w:pos="1134"/>
              </w:tabs>
              <w:adjustRightInd w:val="0"/>
              <w:spacing w:before="240"/>
              <w:ind w:left="589"/>
              <w:jc w:val="both"/>
              <w:rPr>
                <w:rFonts w:ascii="Arial" w:hAnsi="Arial" w:cs="Arial"/>
                <w:snapToGrid w:val="0"/>
                <w:szCs w:val="18"/>
                <w:lang w:val="es-MX"/>
              </w:rPr>
            </w:pPr>
          </w:p>
          <w:p w14:paraId="6A968B95" w14:textId="77777777" w:rsidR="0013590A" w:rsidRPr="0013590A" w:rsidRDefault="0013590A" w:rsidP="0013590A">
            <w:pPr>
              <w:pStyle w:val="Prrafodelista"/>
              <w:numPr>
                <w:ilvl w:val="0"/>
                <w:numId w:val="4"/>
              </w:numPr>
              <w:tabs>
                <w:tab w:val="left" w:pos="1134"/>
              </w:tabs>
              <w:adjustRightInd w:val="0"/>
              <w:ind w:left="589"/>
              <w:jc w:val="both"/>
              <w:rPr>
                <w:rFonts w:ascii="Arial" w:hAnsi="Arial" w:cs="Arial"/>
                <w:snapToGrid w:val="0"/>
                <w:szCs w:val="18"/>
                <w:lang w:val="es-MX"/>
              </w:rPr>
            </w:pPr>
            <w:r w:rsidRPr="0013590A">
              <w:rPr>
                <w:rFonts w:ascii="Arial" w:hAnsi="Arial" w:cs="Arial"/>
                <w:snapToGrid w:val="0"/>
                <w:szCs w:val="18"/>
                <w:lang w:val="es-MX"/>
              </w:rPr>
              <w:t>La autorización para otorgar subvenciones a favor de terceros hasta el importe máximo de 15.000,00 euros excepto en las subvenciones nominativas cuyo otorgamiento sería hasta el importe máximo de 60.000,00 euros.</w:t>
            </w:r>
          </w:p>
          <w:p w14:paraId="2C75BEF4" w14:textId="77777777" w:rsidR="0013590A" w:rsidRPr="0013590A" w:rsidRDefault="0013590A" w:rsidP="0013590A">
            <w:pPr>
              <w:pStyle w:val="Prrafodelista"/>
              <w:tabs>
                <w:tab w:val="left" w:pos="1134"/>
              </w:tabs>
              <w:adjustRightInd w:val="0"/>
              <w:ind w:left="589"/>
              <w:jc w:val="both"/>
              <w:rPr>
                <w:rFonts w:ascii="Arial" w:hAnsi="Arial" w:cs="Arial"/>
                <w:snapToGrid w:val="0"/>
                <w:szCs w:val="18"/>
                <w:lang w:val="es-MX"/>
              </w:rPr>
            </w:pPr>
          </w:p>
          <w:p w14:paraId="3C2B58BA" w14:textId="77777777" w:rsidR="0013590A" w:rsidRPr="0013590A" w:rsidRDefault="0013590A" w:rsidP="0013590A">
            <w:pPr>
              <w:pStyle w:val="Prrafodelista"/>
              <w:numPr>
                <w:ilvl w:val="0"/>
                <w:numId w:val="4"/>
              </w:numPr>
              <w:tabs>
                <w:tab w:val="left" w:pos="1134"/>
              </w:tabs>
              <w:adjustRightInd w:val="0"/>
              <w:ind w:left="589"/>
              <w:jc w:val="both"/>
              <w:rPr>
                <w:rFonts w:ascii="Arial" w:hAnsi="Arial" w:cs="Arial"/>
                <w:snapToGrid w:val="0"/>
                <w:szCs w:val="18"/>
                <w:lang w:val="es-MX"/>
              </w:rPr>
            </w:pPr>
            <w:r w:rsidRPr="0013590A">
              <w:rPr>
                <w:rFonts w:ascii="Arial" w:hAnsi="Arial" w:cs="Arial"/>
                <w:snapToGrid w:val="0"/>
                <w:szCs w:val="18"/>
                <w:lang w:val="es-MX"/>
              </w:rPr>
              <w:t xml:space="preserve">La autorización de gastos de hasta 60.000,00 euros con </w:t>
            </w:r>
            <w:r w:rsidRPr="0013590A">
              <w:rPr>
                <w:rFonts w:ascii="Arial" w:hAnsi="Arial" w:cs="Arial"/>
                <w:snapToGrid w:val="0"/>
                <w:szCs w:val="18"/>
                <w:u w:val="single"/>
                <w:lang w:val="es-MX"/>
              </w:rPr>
              <w:t>carácter de futuros</w:t>
            </w:r>
            <w:r w:rsidRPr="0013590A">
              <w:rPr>
                <w:rFonts w:ascii="Arial" w:hAnsi="Arial" w:cs="Arial"/>
                <w:snapToGrid w:val="0"/>
                <w:szCs w:val="18"/>
                <w:lang w:val="es-MX"/>
              </w:rPr>
              <w:t>, es decir, de aquellos expedientes que conlleve compromisos de gastos con cargo a ejercicios futuros.</w:t>
            </w:r>
          </w:p>
          <w:p w14:paraId="65F7B95A" w14:textId="77777777" w:rsidR="0013590A" w:rsidRPr="0013590A" w:rsidRDefault="0013590A" w:rsidP="0013590A">
            <w:pPr>
              <w:pStyle w:val="Prrafodelista"/>
              <w:ind w:left="589"/>
              <w:jc w:val="both"/>
              <w:rPr>
                <w:rFonts w:ascii="Arial" w:hAnsi="Arial" w:cs="Arial"/>
                <w:snapToGrid w:val="0"/>
                <w:szCs w:val="18"/>
                <w:lang w:val="es-MX"/>
              </w:rPr>
            </w:pPr>
          </w:p>
          <w:p w14:paraId="6B8E8D1B" w14:textId="77777777" w:rsidR="003B4314" w:rsidRDefault="003B4314" w:rsidP="0013590A">
            <w:pPr>
              <w:pStyle w:val="Prrafodelista"/>
              <w:tabs>
                <w:tab w:val="left" w:pos="1134"/>
              </w:tabs>
              <w:adjustRightInd w:val="0"/>
              <w:ind w:left="589"/>
              <w:jc w:val="both"/>
              <w:rPr>
                <w:rFonts w:ascii="Arial" w:hAnsi="Arial" w:cs="Arial"/>
                <w:snapToGrid w:val="0"/>
                <w:szCs w:val="18"/>
              </w:rPr>
            </w:pPr>
            <w:r w:rsidRPr="003B4314">
              <w:rPr>
                <w:rFonts w:ascii="Arial" w:hAnsi="Arial" w:cs="Arial"/>
                <w:snapToGrid w:val="0"/>
                <w:szCs w:val="18"/>
              </w:rPr>
              <w:t>En el caso de los gastos futuros competencia del Gerente, será preciso, con carácter previo a su autorización, la elaboración de un informe por parte de la Unidad económico-financiera del Consorcio</w:t>
            </w:r>
          </w:p>
          <w:p w14:paraId="56C835B9" w14:textId="77777777" w:rsidR="003B4314" w:rsidRDefault="003B4314" w:rsidP="0013590A">
            <w:pPr>
              <w:pStyle w:val="Prrafodelista"/>
              <w:tabs>
                <w:tab w:val="left" w:pos="1134"/>
              </w:tabs>
              <w:adjustRightInd w:val="0"/>
              <w:ind w:left="589"/>
              <w:jc w:val="both"/>
              <w:rPr>
                <w:rFonts w:ascii="Arial" w:hAnsi="Arial" w:cs="Arial"/>
                <w:snapToGrid w:val="0"/>
                <w:szCs w:val="18"/>
                <w:lang w:val="es-MX"/>
              </w:rPr>
            </w:pPr>
          </w:p>
          <w:p w14:paraId="59C1F038" w14:textId="77777777" w:rsidR="0013590A" w:rsidRPr="0013590A" w:rsidRDefault="0013590A" w:rsidP="0013590A">
            <w:pPr>
              <w:pStyle w:val="Prrafodelista"/>
              <w:tabs>
                <w:tab w:val="left" w:pos="1134"/>
              </w:tabs>
              <w:adjustRightInd w:val="0"/>
              <w:ind w:left="589"/>
              <w:jc w:val="both"/>
              <w:rPr>
                <w:rFonts w:ascii="Arial" w:hAnsi="Arial" w:cs="Arial"/>
                <w:snapToGrid w:val="0"/>
                <w:szCs w:val="18"/>
                <w:lang w:val="es-MX"/>
              </w:rPr>
            </w:pPr>
            <w:r w:rsidRPr="0013590A">
              <w:rPr>
                <w:rFonts w:ascii="Arial" w:hAnsi="Arial" w:cs="Arial"/>
                <w:snapToGrid w:val="0"/>
                <w:szCs w:val="18"/>
                <w:lang w:val="es-MX"/>
              </w:rPr>
              <w:t>En el caso de los gastos futuros inferiores a 15.000,00 euros, se deberá informar al Servicio de Presupuesto y gasto Público del Excmo. Cabildo Insular de Tenerife, sobre la propuesta de compromiso de gasto futuro aprobada por el Gerente del Consorcio.</w:t>
            </w:r>
          </w:p>
          <w:p w14:paraId="00297169" w14:textId="77777777" w:rsidR="0013590A" w:rsidRPr="0013590A" w:rsidRDefault="0013590A" w:rsidP="0013590A">
            <w:pPr>
              <w:pStyle w:val="Prrafodelista"/>
              <w:tabs>
                <w:tab w:val="left" w:pos="1134"/>
              </w:tabs>
              <w:adjustRightInd w:val="0"/>
              <w:ind w:left="589"/>
              <w:jc w:val="both"/>
              <w:rPr>
                <w:rFonts w:ascii="Arial" w:hAnsi="Arial" w:cs="Arial"/>
                <w:snapToGrid w:val="0"/>
                <w:szCs w:val="18"/>
                <w:lang w:val="es-MX"/>
              </w:rPr>
            </w:pPr>
          </w:p>
          <w:p w14:paraId="50F06D2F" w14:textId="77777777" w:rsidR="0013590A" w:rsidRPr="0013590A" w:rsidRDefault="0013590A" w:rsidP="0013590A">
            <w:pPr>
              <w:pStyle w:val="Prrafodelista"/>
              <w:tabs>
                <w:tab w:val="left" w:pos="1134"/>
              </w:tabs>
              <w:adjustRightInd w:val="0"/>
              <w:spacing w:before="240"/>
              <w:ind w:left="589"/>
              <w:jc w:val="both"/>
              <w:rPr>
                <w:rFonts w:ascii="Arial" w:hAnsi="Arial" w:cs="Arial"/>
                <w:snapToGrid w:val="0"/>
                <w:szCs w:val="18"/>
                <w:lang w:val="es-MX"/>
              </w:rPr>
            </w:pPr>
            <w:r w:rsidRPr="0013590A">
              <w:rPr>
                <w:rFonts w:ascii="Arial" w:hAnsi="Arial" w:cs="Arial"/>
                <w:snapToGrid w:val="0"/>
                <w:szCs w:val="18"/>
                <w:lang w:val="es-MX"/>
              </w:rPr>
              <w:t xml:space="preserve">La autorización de gastos superiores a 15.000,00 euros con </w:t>
            </w:r>
            <w:r w:rsidRPr="0013590A">
              <w:rPr>
                <w:rFonts w:ascii="Arial" w:hAnsi="Arial" w:cs="Arial"/>
                <w:snapToGrid w:val="0"/>
                <w:szCs w:val="18"/>
                <w:u w:val="single"/>
                <w:lang w:val="es-MX"/>
              </w:rPr>
              <w:t>carácter de futuros</w:t>
            </w:r>
            <w:r w:rsidRPr="0013590A">
              <w:rPr>
                <w:rFonts w:ascii="Arial" w:hAnsi="Arial" w:cs="Arial"/>
                <w:snapToGrid w:val="0"/>
                <w:szCs w:val="18"/>
                <w:lang w:val="es-MX"/>
              </w:rPr>
              <w:t>, será preciso, con carácter previo a su autorización, la aprobación por el órgano competente del Excmo. Cabildo Insular de Tenerife, del citado gasto futuro según las Bases de Ejecución de la Corporación Insular.</w:t>
            </w:r>
          </w:p>
          <w:p w14:paraId="32998C14" w14:textId="77777777" w:rsidR="0013590A" w:rsidRPr="0013590A" w:rsidRDefault="0013590A" w:rsidP="0013590A">
            <w:pPr>
              <w:pStyle w:val="Prrafodelista"/>
              <w:tabs>
                <w:tab w:val="left" w:pos="1134"/>
              </w:tabs>
              <w:adjustRightInd w:val="0"/>
              <w:spacing w:before="240"/>
              <w:ind w:left="589"/>
              <w:jc w:val="both"/>
              <w:rPr>
                <w:rFonts w:ascii="Arial" w:hAnsi="Arial" w:cs="Arial"/>
                <w:snapToGrid w:val="0"/>
                <w:szCs w:val="18"/>
                <w:lang w:val="es-MX"/>
              </w:rPr>
            </w:pPr>
          </w:p>
          <w:p w14:paraId="479FA1A0" w14:textId="77777777" w:rsidR="0013590A" w:rsidRDefault="0013590A" w:rsidP="0013590A">
            <w:pPr>
              <w:pStyle w:val="Prrafodelista"/>
              <w:numPr>
                <w:ilvl w:val="0"/>
                <w:numId w:val="4"/>
              </w:numPr>
              <w:tabs>
                <w:tab w:val="left" w:pos="1134"/>
              </w:tabs>
              <w:adjustRightInd w:val="0"/>
              <w:spacing w:before="240"/>
              <w:ind w:left="589"/>
              <w:jc w:val="both"/>
              <w:rPr>
                <w:rFonts w:ascii="Arial" w:hAnsi="Arial" w:cs="Arial"/>
                <w:snapToGrid w:val="0"/>
                <w:szCs w:val="18"/>
                <w:lang w:val="es-MX"/>
              </w:rPr>
            </w:pPr>
            <w:r w:rsidRPr="0013590A">
              <w:rPr>
                <w:rFonts w:ascii="Arial" w:hAnsi="Arial" w:cs="Arial"/>
                <w:snapToGrid w:val="0"/>
                <w:szCs w:val="18"/>
                <w:lang w:val="es-MX"/>
              </w:rPr>
              <w:t>También aquellos gastos que corresponden a compromisos legalmente adquiridos por la Corporación en ejercicios anteriores, que originaran la tramitación de documento contable AD por el importe del gasto imputable al ejercicio, debiendo informar al Comité Ejecutivo en la primera sesión que se celebre, en el caso de:</w:t>
            </w:r>
          </w:p>
          <w:p w14:paraId="5208401B" w14:textId="77777777" w:rsidR="003B4314" w:rsidRPr="0013590A" w:rsidRDefault="003B4314" w:rsidP="003B4314">
            <w:pPr>
              <w:pStyle w:val="Prrafodelista"/>
              <w:tabs>
                <w:tab w:val="left" w:pos="1134"/>
              </w:tabs>
              <w:adjustRightInd w:val="0"/>
              <w:spacing w:before="240"/>
              <w:ind w:left="589"/>
              <w:jc w:val="both"/>
              <w:rPr>
                <w:rFonts w:ascii="Arial" w:hAnsi="Arial" w:cs="Arial"/>
                <w:snapToGrid w:val="0"/>
                <w:szCs w:val="18"/>
                <w:lang w:val="es-MX"/>
              </w:rPr>
            </w:pPr>
          </w:p>
          <w:p w14:paraId="21902281" w14:textId="77777777" w:rsidR="0013590A" w:rsidRPr="003B4314" w:rsidRDefault="0013590A" w:rsidP="003B4314">
            <w:pPr>
              <w:pStyle w:val="Prrafodelista"/>
              <w:numPr>
                <w:ilvl w:val="0"/>
                <w:numId w:val="6"/>
              </w:numPr>
              <w:adjustRightInd w:val="0"/>
              <w:ind w:left="1150" w:hanging="191"/>
              <w:rPr>
                <w:rFonts w:ascii="Arial" w:hAnsi="Arial" w:cs="Arial"/>
                <w:snapToGrid w:val="0"/>
                <w:sz w:val="19"/>
                <w:szCs w:val="19"/>
                <w:lang w:val="es-MX"/>
              </w:rPr>
            </w:pPr>
            <w:r w:rsidRPr="003B4314">
              <w:rPr>
                <w:rFonts w:ascii="Arial" w:hAnsi="Arial" w:cs="Arial"/>
                <w:snapToGrid w:val="0"/>
                <w:sz w:val="19"/>
                <w:szCs w:val="19"/>
                <w:lang w:val="es-MX"/>
              </w:rPr>
              <w:t>Gastos plurianuales, por el importe de la anualidad comprometida.</w:t>
            </w:r>
          </w:p>
          <w:p w14:paraId="31886869" w14:textId="77777777" w:rsidR="0013590A" w:rsidRPr="003B4314" w:rsidRDefault="0013590A" w:rsidP="003B4314">
            <w:pPr>
              <w:pStyle w:val="Prrafodelista"/>
              <w:numPr>
                <w:ilvl w:val="0"/>
                <w:numId w:val="6"/>
              </w:numPr>
              <w:adjustRightInd w:val="0"/>
              <w:ind w:left="1150" w:hanging="191"/>
              <w:rPr>
                <w:rFonts w:ascii="Arial" w:hAnsi="Arial" w:cs="Arial"/>
                <w:snapToGrid w:val="0"/>
                <w:sz w:val="19"/>
                <w:szCs w:val="19"/>
                <w:lang w:val="es-MX"/>
              </w:rPr>
            </w:pPr>
            <w:r w:rsidRPr="003B4314">
              <w:rPr>
                <w:rFonts w:ascii="Arial" w:hAnsi="Arial" w:cs="Arial"/>
                <w:snapToGrid w:val="0"/>
                <w:sz w:val="19"/>
                <w:szCs w:val="19"/>
                <w:lang w:val="es-MX"/>
              </w:rPr>
              <w:t>Arrendamientos.</w:t>
            </w:r>
          </w:p>
          <w:p w14:paraId="591A4ACD" w14:textId="77777777" w:rsidR="0013590A" w:rsidRPr="003B4314" w:rsidRDefault="0013590A" w:rsidP="003B4314">
            <w:pPr>
              <w:pStyle w:val="Prrafodelista"/>
              <w:numPr>
                <w:ilvl w:val="0"/>
                <w:numId w:val="6"/>
              </w:numPr>
              <w:adjustRightInd w:val="0"/>
              <w:ind w:left="1150" w:hanging="191"/>
              <w:rPr>
                <w:rFonts w:ascii="Arial" w:hAnsi="Arial" w:cs="Arial"/>
                <w:snapToGrid w:val="0"/>
                <w:sz w:val="19"/>
                <w:szCs w:val="19"/>
                <w:lang w:val="es-MX"/>
              </w:rPr>
            </w:pPr>
            <w:r w:rsidRPr="003B4314">
              <w:rPr>
                <w:rFonts w:ascii="Arial" w:hAnsi="Arial" w:cs="Arial"/>
                <w:snapToGrid w:val="0"/>
                <w:sz w:val="19"/>
                <w:szCs w:val="19"/>
                <w:lang w:val="es-MX"/>
              </w:rPr>
              <w:t>Contratos de tracto sucesivo.</w:t>
            </w:r>
          </w:p>
          <w:p w14:paraId="60B47F53" w14:textId="77777777" w:rsidR="0013590A" w:rsidRPr="003B4314" w:rsidRDefault="0013590A" w:rsidP="003B4314">
            <w:pPr>
              <w:pStyle w:val="Prrafodelista"/>
              <w:numPr>
                <w:ilvl w:val="0"/>
                <w:numId w:val="6"/>
              </w:numPr>
              <w:adjustRightInd w:val="0"/>
              <w:ind w:left="1150" w:hanging="191"/>
              <w:rPr>
                <w:rFonts w:ascii="Arial" w:hAnsi="Arial" w:cs="Arial"/>
                <w:snapToGrid w:val="0"/>
                <w:sz w:val="19"/>
                <w:szCs w:val="19"/>
                <w:lang w:val="es-MX"/>
              </w:rPr>
            </w:pPr>
            <w:r w:rsidRPr="003B4314">
              <w:rPr>
                <w:rFonts w:ascii="Arial" w:hAnsi="Arial" w:cs="Arial"/>
                <w:snapToGrid w:val="0"/>
                <w:sz w:val="19"/>
                <w:szCs w:val="19"/>
                <w:lang w:val="es-MX"/>
              </w:rPr>
              <w:t>Intereses de préstamos o créditos concertados.</w:t>
            </w:r>
          </w:p>
          <w:p w14:paraId="07857FBA" w14:textId="77777777" w:rsidR="0013590A" w:rsidRPr="0013590A" w:rsidRDefault="0013590A" w:rsidP="0013590A">
            <w:pPr>
              <w:pStyle w:val="Prrafodelista"/>
              <w:adjustRightInd w:val="0"/>
              <w:ind w:left="1309"/>
              <w:rPr>
                <w:rFonts w:ascii="Arial" w:hAnsi="Arial" w:cs="Arial"/>
                <w:snapToGrid w:val="0"/>
                <w:szCs w:val="18"/>
                <w:lang w:val="es-MX"/>
              </w:rPr>
            </w:pPr>
          </w:p>
          <w:p w14:paraId="2781BD9E" w14:textId="77777777" w:rsidR="0013590A" w:rsidRDefault="0013590A" w:rsidP="0013590A">
            <w:pPr>
              <w:pStyle w:val="Prrafodelista"/>
              <w:numPr>
                <w:ilvl w:val="0"/>
                <w:numId w:val="4"/>
              </w:numPr>
              <w:tabs>
                <w:tab w:val="left" w:pos="1134"/>
              </w:tabs>
              <w:adjustRightInd w:val="0"/>
              <w:ind w:left="589"/>
              <w:jc w:val="both"/>
              <w:rPr>
                <w:rFonts w:ascii="Arial" w:hAnsi="Arial" w:cs="Arial"/>
                <w:snapToGrid w:val="0"/>
                <w:szCs w:val="18"/>
                <w:lang w:val="es-MX"/>
              </w:rPr>
            </w:pPr>
            <w:r w:rsidRPr="0013590A">
              <w:rPr>
                <w:rFonts w:ascii="Arial" w:hAnsi="Arial" w:cs="Arial"/>
                <w:snapToGrid w:val="0"/>
                <w:szCs w:val="18"/>
                <w:lang w:val="es-MX"/>
              </w:rPr>
              <w:t xml:space="preserve">Por razones de eficiencia y oportunidad, y en virtud de lo previsto en el artículo 22.k) de los Estatutos del Consorcio, por el que se atribuye la jefatura del personal al Gerente, la autorización del gasto de las nóminas mensuales del personal, incluidos los servicios extraordinarios, de acuerdo con las previsiones anuales establecidas </w:t>
            </w:r>
            <w:r w:rsidRPr="0013590A">
              <w:rPr>
                <w:rFonts w:ascii="Arial" w:hAnsi="Arial" w:cs="Arial"/>
                <w:snapToGrid w:val="0"/>
                <w:szCs w:val="18"/>
                <w:lang w:val="es-MX"/>
              </w:rPr>
              <w:lastRenderedPageBreak/>
              <w:t>en los Presupuestos Generales del Estado, y aprobadas por el Pleno de esta Administración, además de los seguros sociales y los impuestos. Asimismo corresponderá al Gerente la autorización de gastos relativos a subsidio de estudios del personal, bolsas de viaje, anticipos reintegrables, dietas y horas extraordinarias, en las cuantías que se fijan en estas Bases, en las correspondientes normas de negociación colectiva y en las demás disposiciones legales aplicables, cuando exista dotación presupuestaria al efecto.</w:t>
            </w:r>
          </w:p>
          <w:p w14:paraId="37540EF8" w14:textId="77777777" w:rsidR="0013590A" w:rsidRPr="0013590A" w:rsidRDefault="0013590A" w:rsidP="0013590A">
            <w:pPr>
              <w:pStyle w:val="Prrafodelista"/>
              <w:tabs>
                <w:tab w:val="left" w:pos="1134"/>
              </w:tabs>
              <w:adjustRightInd w:val="0"/>
              <w:ind w:left="589"/>
              <w:jc w:val="both"/>
              <w:rPr>
                <w:rFonts w:ascii="Arial" w:hAnsi="Arial" w:cs="Arial"/>
                <w:snapToGrid w:val="0"/>
                <w:szCs w:val="18"/>
                <w:lang w:val="es-MX"/>
              </w:rPr>
            </w:pPr>
          </w:p>
          <w:p w14:paraId="2ECF1F41" w14:textId="77777777" w:rsidR="0013590A" w:rsidRPr="0013590A" w:rsidRDefault="0013590A" w:rsidP="0013590A">
            <w:pPr>
              <w:pStyle w:val="Prrafodelista"/>
              <w:numPr>
                <w:ilvl w:val="0"/>
                <w:numId w:val="4"/>
              </w:numPr>
              <w:tabs>
                <w:tab w:val="left" w:pos="1134"/>
              </w:tabs>
              <w:adjustRightInd w:val="0"/>
              <w:spacing w:before="240"/>
              <w:ind w:left="589"/>
              <w:jc w:val="both"/>
              <w:rPr>
                <w:rFonts w:ascii="Arial" w:hAnsi="Arial" w:cs="Arial"/>
                <w:snapToGrid w:val="0"/>
                <w:szCs w:val="18"/>
                <w:lang w:val="es-MX"/>
              </w:rPr>
            </w:pPr>
            <w:r w:rsidRPr="0013590A">
              <w:rPr>
                <w:rFonts w:ascii="Arial" w:hAnsi="Arial" w:cs="Arial"/>
                <w:snapToGrid w:val="0"/>
                <w:szCs w:val="18"/>
                <w:lang w:val="es-MX"/>
              </w:rPr>
              <w:t>La autorización de las devoluciones de garantía, tanto provisionales como definitivas, relativas a las correspondientes contrataciones del Consorcio, cuando proceda su devolución.</w:t>
            </w:r>
          </w:p>
          <w:p w14:paraId="5AEECE50" w14:textId="77777777" w:rsidR="0013590A" w:rsidRPr="009A6FAE" w:rsidRDefault="0013590A" w:rsidP="00903A29">
            <w:pPr>
              <w:rPr>
                <w:rFonts w:eastAsia="Times New Roman" w:cs="Arial"/>
                <w:sz w:val="18"/>
                <w:szCs w:val="18"/>
                <w:lang w:eastAsia="es-ES"/>
              </w:rPr>
            </w:pPr>
          </w:p>
        </w:tc>
      </w:tr>
      <w:tr w:rsidR="00C01D28" w:rsidRPr="009A6FAE" w14:paraId="3831B842" w14:textId="77777777" w:rsidTr="00C01D28">
        <w:trPr>
          <w:trHeight w:val="551"/>
        </w:trPr>
        <w:tc>
          <w:tcPr>
            <w:tcW w:w="1827" w:type="dxa"/>
            <w:shd w:val="clear" w:color="auto" w:fill="BFBFBF" w:themeFill="background1" w:themeFillShade="BF"/>
            <w:tcMar>
              <w:top w:w="0" w:type="dxa"/>
              <w:left w:w="70" w:type="dxa"/>
              <w:bottom w:w="0" w:type="dxa"/>
              <w:right w:w="70" w:type="dxa"/>
            </w:tcMar>
          </w:tcPr>
          <w:p w14:paraId="0AA2B3AB" w14:textId="77777777" w:rsidR="00C01D28" w:rsidRDefault="00C01D28" w:rsidP="00C01D28">
            <w:pPr>
              <w:spacing w:before="240"/>
              <w:rPr>
                <w:rFonts w:eastAsia="Times New Roman" w:cs="Arial"/>
                <w:b/>
                <w:bCs/>
                <w:lang w:eastAsia="es-ES"/>
              </w:rPr>
            </w:pPr>
            <w:r>
              <w:rPr>
                <w:rFonts w:eastAsia="Times New Roman" w:cs="Arial"/>
                <w:b/>
                <w:bCs/>
                <w:lang w:eastAsia="es-ES"/>
              </w:rPr>
              <w:lastRenderedPageBreak/>
              <w:t>COMITÉ EJECUTIVO</w:t>
            </w:r>
          </w:p>
          <w:p w14:paraId="1ED35F05" w14:textId="77777777" w:rsidR="00C01D28" w:rsidRPr="0013590A" w:rsidRDefault="00C01D28" w:rsidP="00C01D28">
            <w:pPr>
              <w:spacing w:before="240"/>
              <w:rPr>
                <w:b/>
              </w:rPr>
            </w:pPr>
          </w:p>
        </w:tc>
        <w:tc>
          <w:tcPr>
            <w:tcW w:w="6890" w:type="dxa"/>
            <w:tcMar>
              <w:top w:w="0" w:type="dxa"/>
              <w:left w:w="70" w:type="dxa"/>
              <w:bottom w:w="0" w:type="dxa"/>
              <w:right w:w="70" w:type="dxa"/>
            </w:tcMar>
          </w:tcPr>
          <w:p w14:paraId="2DF109A0" w14:textId="77777777" w:rsidR="00C01D28" w:rsidRDefault="00C01D28" w:rsidP="00C01D28">
            <w:pPr>
              <w:pStyle w:val="Prrafodelista"/>
              <w:numPr>
                <w:ilvl w:val="0"/>
                <w:numId w:val="7"/>
              </w:numPr>
              <w:tabs>
                <w:tab w:val="left" w:pos="1134"/>
              </w:tabs>
              <w:adjustRightInd w:val="0"/>
              <w:spacing w:before="240"/>
              <w:ind w:left="472"/>
              <w:jc w:val="both"/>
              <w:rPr>
                <w:rFonts w:ascii="Arial" w:hAnsi="Arial" w:cs="Arial"/>
                <w:snapToGrid w:val="0"/>
                <w:lang w:val="es-MX"/>
              </w:rPr>
            </w:pPr>
            <w:r w:rsidRPr="00CE73D6">
              <w:rPr>
                <w:rFonts w:ascii="Arial" w:hAnsi="Arial" w:cs="Arial"/>
                <w:snapToGrid w:val="0"/>
                <w:lang w:val="es-MX"/>
              </w:rPr>
              <w:t>La contratación de obras, servicios, suministros y cualesquiera otros contratos y gastos en general cuya autorización no se atribuya expresamente en estas Bases a otro órgano.</w:t>
            </w:r>
          </w:p>
          <w:p w14:paraId="130B0B8E" w14:textId="77777777" w:rsidR="00C01D28" w:rsidRDefault="00C01D28" w:rsidP="00C01D28">
            <w:pPr>
              <w:pStyle w:val="Prrafodelista"/>
              <w:tabs>
                <w:tab w:val="left" w:pos="1134"/>
              </w:tabs>
              <w:adjustRightInd w:val="0"/>
              <w:spacing w:before="240"/>
              <w:jc w:val="both"/>
              <w:rPr>
                <w:rFonts w:ascii="Arial" w:hAnsi="Arial" w:cs="Arial"/>
                <w:snapToGrid w:val="0"/>
                <w:lang w:val="es-MX"/>
              </w:rPr>
            </w:pPr>
          </w:p>
          <w:p w14:paraId="29C7048E" w14:textId="77777777" w:rsidR="00C01D28" w:rsidRDefault="00C01D28" w:rsidP="00C01D28">
            <w:pPr>
              <w:pStyle w:val="Prrafodelista"/>
              <w:numPr>
                <w:ilvl w:val="0"/>
                <w:numId w:val="7"/>
              </w:numPr>
              <w:adjustRightInd w:val="0"/>
              <w:ind w:left="472" w:right="56"/>
              <w:jc w:val="both"/>
              <w:rPr>
                <w:rFonts w:ascii="Arial" w:hAnsi="Arial" w:cs="Arial"/>
                <w:snapToGrid w:val="0"/>
                <w:lang w:val="es-MX"/>
              </w:rPr>
            </w:pPr>
            <w:r w:rsidRPr="00CE73D6">
              <w:rPr>
                <w:rFonts w:ascii="Arial" w:hAnsi="Arial" w:cs="Arial"/>
                <w:snapToGrid w:val="0"/>
                <w:lang w:val="es-MX"/>
              </w:rPr>
              <w:t xml:space="preserve">La autorización de gastos superiores a 60.000,00 euros de </w:t>
            </w:r>
            <w:r w:rsidRPr="00CE73D6">
              <w:rPr>
                <w:rFonts w:ascii="Arial" w:hAnsi="Arial" w:cs="Arial"/>
                <w:snapToGrid w:val="0"/>
                <w:u w:val="single"/>
                <w:lang w:val="es-MX"/>
              </w:rPr>
              <w:t>carácter plurianual</w:t>
            </w:r>
            <w:r w:rsidRPr="00CE73D6">
              <w:rPr>
                <w:rFonts w:ascii="Arial" w:hAnsi="Arial" w:cs="Arial"/>
                <w:snapToGrid w:val="0"/>
                <w:lang w:val="es-MX"/>
              </w:rPr>
              <w:t>, es decir, de aquellos que hayan de extenderse a ejercicios posteriores a aquel en que se autorice, siempre que su ejecución se inicie en el propio ejercicio.</w:t>
            </w:r>
          </w:p>
          <w:p w14:paraId="53067761" w14:textId="77777777" w:rsidR="00C01D28" w:rsidRPr="00CE73D6" w:rsidRDefault="00C01D28" w:rsidP="00C01D28">
            <w:pPr>
              <w:pStyle w:val="Prrafodelista"/>
              <w:rPr>
                <w:rFonts w:ascii="Arial" w:hAnsi="Arial" w:cs="Arial"/>
                <w:snapToGrid w:val="0"/>
                <w:lang w:val="es-MX"/>
              </w:rPr>
            </w:pPr>
          </w:p>
          <w:p w14:paraId="3A1E9C21" w14:textId="77777777" w:rsidR="00C01D28" w:rsidRDefault="00C01D28" w:rsidP="00C01D28">
            <w:pPr>
              <w:pStyle w:val="Prrafodelista"/>
              <w:adjustRightInd w:val="0"/>
              <w:ind w:left="472" w:right="56"/>
              <w:jc w:val="both"/>
              <w:rPr>
                <w:rFonts w:ascii="Arial" w:hAnsi="Arial" w:cs="Arial"/>
                <w:snapToGrid w:val="0"/>
                <w:lang w:val="es-MX"/>
              </w:rPr>
            </w:pPr>
            <w:r w:rsidRPr="00CE73D6">
              <w:rPr>
                <w:rFonts w:ascii="Arial" w:hAnsi="Arial" w:cs="Arial"/>
                <w:snapToGrid w:val="0"/>
                <w:lang w:val="es-MX"/>
              </w:rPr>
              <w:t>En el caso de los gastos plurianuales competencia del Comité Ejecutivo, será preciso, con carácter previo a su autorización, la elaboración de un informe por parte de la Unidad económico-financiera del Consorcio. Además, se remitirá al Consejo de Gobierno Insular del Excmo. Cabildo Insular de Tenerife, el citado informe así como la propuesta de compromiso de gasto plurianual aprobado por el citado órgano del Consorcio, al objeto de su aprobación definitiva.</w:t>
            </w:r>
          </w:p>
          <w:p w14:paraId="43587A4D" w14:textId="77777777" w:rsidR="00C01D28" w:rsidRDefault="00C01D28" w:rsidP="00C01D28">
            <w:pPr>
              <w:pStyle w:val="Prrafodelista"/>
              <w:adjustRightInd w:val="0"/>
              <w:ind w:left="472" w:right="56"/>
              <w:jc w:val="both"/>
              <w:rPr>
                <w:rFonts w:ascii="Arial" w:hAnsi="Arial" w:cs="Arial"/>
                <w:snapToGrid w:val="0"/>
                <w:lang w:val="es-MX"/>
              </w:rPr>
            </w:pPr>
          </w:p>
          <w:p w14:paraId="3458AD6C" w14:textId="77777777" w:rsidR="00C01D28" w:rsidRDefault="00C01D28" w:rsidP="00C01D28">
            <w:pPr>
              <w:pStyle w:val="Prrafodelista"/>
              <w:numPr>
                <w:ilvl w:val="0"/>
                <w:numId w:val="7"/>
              </w:numPr>
              <w:adjustRightInd w:val="0"/>
              <w:ind w:left="481" w:right="56"/>
              <w:jc w:val="both"/>
              <w:rPr>
                <w:rFonts w:ascii="Arial" w:hAnsi="Arial" w:cs="Arial"/>
                <w:snapToGrid w:val="0"/>
                <w:lang w:val="es-MX"/>
              </w:rPr>
            </w:pPr>
            <w:r w:rsidRPr="00CE73D6">
              <w:rPr>
                <w:rFonts w:ascii="Arial" w:hAnsi="Arial" w:cs="Arial"/>
                <w:snapToGrid w:val="0"/>
                <w:lang w:val="es-MX"/>
              </w:rPr>
              <w:t xml:space="preserve">La autorización de gastos superiores a 60.000,00 euros de </w:t>
            </w:r>
            <w:r w:rsidRPr="00CE73D6">
              <w:rPr>
                <w:rFonts w:ascii="Arial" w:hAnsi="Arial" w:cs="Arial"/>
                <w:snapToGrid w:val="0"/>
                <w:u w:val="single"/>
                <w:lang w:val="es-MX"/>
              </w:rPr>
              <w:t>carácter futuro</w:t>
            </w:r>
            <w:r w:rsidRPr="00CE73D6">
              <w:rPr>
                <w:rFonts w:ascii="Arial" w:hAnsi="Arial" w:cs="Arial"/>
                <w:snapToGrid w:val="0"/>
                <w:lang w:val="es-MX"/>
              </w:rPr>
              <w:t>, es decir, es decir, de aquellos expedientes que conlleve compromisos de gastos con cargo a ejercicios futuros.</w:t>
            </w:r>
          </w:p>
          <w:p w14:paraId="4901CCB8" w14:textId="77777777" w:rsidR="00C01D28" w:rsidRDefault="00C01D28" w:rsidP="00C01D28">
            <w:pPr>
              <w:pStyle w:val="Prrafodelista"/>
              <w:adjustRightInd w:val="0"/>
              <w:ind w:left="481" w:right="56"/>
              <w:jc w:val="both"/>
              <w:rPr>
                <w:rFonts w:ascii="Arial" w:hAnsi="Arial" w:cs="Arial"/>
                <w:snapToGrid w:val="0"/>
                <w:lang w:val="es-MX"/>
              </w:rPr>
            </w:pPr>
          </w:p>
          <w:p w14:paraId="6517896E" w14:textId="77777777" w:rsidR="00C01D28" w:rsidRDefault="00C01D28" w:rsidP="00C01D28">
            <w:pPr>
              <w:pStyle w:val="Prrafodelista"/>
              <w:adjustRightInd w:val="0"/>
              <w:ind w:left="481" w:right="56"/>
              <w:jc w:val="both"/>
              <w:rPr>
                <w:rFonts w:ascii="Arial" w:hAnsi="Arial" w:cs="Arial"/>
                <w:snapToGrid w:val="0"/>
                <w:lang w:val="es-MX"/>
              </w:rPr>
            </w:pPr>
            <w:r w:rsidRPr="00CE73D6">
              <w:rPr>
                <w:rFonts w:ascii="Arial" w:hAnsi="Arial" w:cs="Arial"/>
                <w:snapToGrid w:val="0"/>
                <w:lang w:val="es-MX"/>
              </w:rPr>
              <w:t xml:space="preserve">En el caso de los gastos futuros competencia del Comité Ejecutivo, </w:t>
            </w:r>
            <w:r w:rsidR="003B4314" w:rsidRPr="003B4314">
              <w:rPr>
                <w:rFonts w:ascii="Arial" w:hAnsi="Arial" w:cs="Arial"/>
                <w:snapToGrid w:val="0"/>
              </w:rPr>
              <w:t>será preciso, con carácter previo a su autorización, la elaboración de un informe por parte de la Unidad económico-financiera del Consorcio, posteriormente</w:t>
            </w:r>
            <w:r w:rsidR="003B4314">
              <w:rPr>
                <w:rFonts w:ascii="Arial" w:hAnsi="Arial" w:cs="Arial"/>
                <w:snapToGrid w:val="0"/>
              </w:rPr>
              <w:t xml:space="preserve">, </w:t>
            </w:r>
            <w:r w:rsidRPr="00CE73D6">
              <w:rPr>
                <w:rFonts w:ascii="Arial" w:hAnsi="Arial" w:cs="Arial"/>
                <w:snapToGrid w:val="0"/>
                <w:lang w:val="es-MX"/>
              </w:rPr>
              <w:t>se remitirá al Excmo. Cabildo Insular de Tenerife la propuesta de compromiso de gasto futuro aprobada, al objeto de su aprobación definitiva.</w:t>
            </w:r>
          </w:p>
          <w:p w14:paraId="530031F4" w14:textId="77777777" w:rsidR="00C01D28" w:rsidRDefault="00C01D28" w:rsidP="00C01D28">
            <w:pPr>
              <w:pStyle w:val="Prrafodelista"/>
              <w:adjustRightInd w:val="0"/>
              <w:ind w:left="481" w:right="56"/>
              <w:jc w:val="both"/>
              <w:rPr>
                <w:rFonts w:ascii="Arial" w:hAnsi="Arial" w:cs="Arial"/>
                <w:snapToGrid w:val="0"/>
                <w:lang w:val="es-MX"/>
              </w:rPr>
            </w:pPr>
          </w:p>
          <w:p w14:paraId="4989342F" w14:textId="77777777" w:rsidR="00C01D28" w:rsidRPr="00CE73D6" w:rsidRDefault="00C01D28" w:rsidP="00C01D28">
            <w:pPr>
              <w:pStyle w:val="Prrafodelista"/>
              <w:numPr>
                <w:ilvl w:val="0"/>
                <w:numId w:val="7"/>
              </w:numPr>
              <w:adjustRightInd w:val="0"/>
              <w:ind w:left="481" w:right="56"/>
              <w:jc w:val="both"/>
              <w:rPr>
                <w:rFonts w:ascii="Arial" w:hAnsi="Arial" w:cs="Arial"/>
                <w:snapToGrid w:val="0"/>
                <w:lang w:val="es-MX"/>
              </w:rPr>
            </w:pPr>
            <w:r w:rsidRPr="00CE73D6">
              <w:rPr>
                <w:rFonts w:ascii="Arial" w:hAnsi="Arial" w:cs="Arial"/>
                <w:snapToGrid w:val="0"/>
                <w:lang w:val="es-MX"/>
              </w:rPr>
              <w:t>La autorización para otorgar subvenciones a favor de terceros por un importe superior a 15.000,00 euros, excepto en las subvenciones nominativas cuyo otorgamiento sería por importe superior a 60.000,00 euros.</w:t>
            </w:r>
          </w:p>
          <w:p w14:paraId="2FA3C10C" w14:textId="77777777" w:rsidR="00C01D28" w:rsidRPr="0013590A" w:rsidRDefault="00C01D28" w:rsidP="00C01D28">
            <w:pPr>
              <w:pStyle w:val="Prrafodelista"/>
              <w:tabs>
                <w:tab w:val="left" w:pos="1134"/>
              </w:tabs>
              <w:adjustRightInd w:val="0"/>
              <w:spacing w:before="240"/>
              <w:ind w:left="589"/>
              <w:jc w:val="both"/>
              <w:rPr>
                <w:rFonts w:ascii="Arial" w:hAnsi="Arial" w:cs="Arial"/>
                <w:snapToGrid w:val="0"/>
                <w:szCs w:val="18"/>
                <w:lang w:val="es-MX"/>
              </w:rPr>
            </w:pPr>
          </w:p>
        </w:tc>
      </w:tr>
      <w:tr w:rsidR="00C01D28" w:rsidRPr="009A6FAE" w14:paraId="4F7EC575" w14:textId="77777777" w:rsidTr="00C01D28">
        <w:trPr>
          <w:trHeight w:val="551"/>
        </w:trPr>
        <w:tc>
          <w:tcPr>
            <w:tcW w:w="1827" w:type="dxa"/>
            <w:shd w:val="clear" w:color="auto" w:fill="BFBFBF" w:themeFill="background1" w:themeFillShade="BF"/>
            <w:tcMar>
              <w:top w:w="0" w:type="dxa"/>
              <w:left w:w="70" w:type="dxa"/>
              <w:bottom w:w="0" w:type="dxa"/>
              <w:right w:w="70" w:type="dxa"/>
            </w:tcMar>
          </w:tcPr>
          <w:p w14:paraId="6676A014" w14:textId="77777777" w:rsidR="00C01D28" w:rsidRDefault="00C01D28" w:rsidP="00C01D28">
            <w:pPr>
              <w:spacing w:before="240"/>
              <w:jc w:val="left"/>
              <w:rPr>
                <w:rFonts w:eastAsia="Times New Roman" w:cs="Arial"/>
                <w:b/>
                <w:bCs/>
                <w:shd w:val="clear" w:color="auto" w:fill="BFBFBF" w:themeFill="background1" w:themeFillShade="BF"/>
                <w:lang w:eastAsia="es-ES"/>
              </w:rPr>
            </w:pPr>
            <w:r>
              <w:rPr>
                <w:rFonts w:eastAsia="Times New Roman" w:cs="Arial"/>
                <w:b/>
                <w:bCs/>
                <w:shd w:val="clear" w:color="auto" w:fill="BFBFBF" w:themeFill="background1" w:themeFillShade="BF"/>
                <w:lang w:eastAsia="es-ES"/>
              </w:rPr>
              <w:t>PLENO</w:t>
            </w:r>
          </w:p>
          <w:p w14:paraId="6FE812E1" w14:textId="77777777" w:rsidR="00C01D28" w:rsidRDefault="00C01D28" w:rsidP="00C01D28">
            <w:pPr>
              <w:spacing w:before="240"/>
              <w:rPr>
                <w:rFonts w:eastAsia="Times New Roman" w:cs="Arial"/>
                <w:b/>
                <w:bCs/>
                <w:lang w:eastAsia="es-ES"/>
              </w:rPr>
            </w:pPr>
          </w:p>
        </w:tc>
        <w:tc>
          <w:tcPr>
            <w:tcW w:w="6890" w:type="dxa"/>
            <w:tcMar>
              <w:top w:w="0" w:type="dxa"/>
              <w:left w:w="70" w:type="dxa"/>
              <w:bottom w:w="0" w:type="dxa"/>
              <w:right w:w="70" w:type="dxa"/>
            </w:tcMar>
          </w:tcPr>
          <w:p w14:paraId="352925FE" w14:textId="77777777" w:rsidR="00C01D28" w:rsidRPr="00CE73D6" w:rsidRDefault="00C01D28" w:rsidP="00C01D28">
            <w:pPr>
              <w:pStyle w:val="Prrafodelista"/>
              <w:numPr>
                <w:ilvl w:val="0"/>
                <w:numId w:val="8"/>
              </w:numPr>
              <w:adjustRightInd w:val="0"/>
              <w:spacing w:before="240"/>
              <w:ind w:left="497" w:right="56"/>
              <w:jc w:val="both"/>
              <w:rPr>
                <w:rFonts w:ascii="Arial" w:hAnsi="Arial" w:cs="Arial"/>
                <w:snapToGrid w:val="0"/>
                <w:lang w:val="es-MX"/>
              </w:rPr>
            </w:pPr>
            <w:r w:rsidRPr="00CE73D6">
              <w:rPr>
                <w:rFonts w:ascii="Arial" w:hAnsi="Arial" w:cs="Arial"/>
                <w:snapToGrid w:val="0"/>
              </w:rPr>
              <w:t>L</w:t>
            </w:r>
            <w:r w:rsidRPr="00CE73D6">
              <w:rPr>
                <w:rFonts w:ascii="Arial" w:hAnsi="Arial" w:cs="Arial"/>
                <w:snapToGrid w:val="0"/>
                <w:lang w:val="es-MX"/>
              </w:rPr>
              <w:t>a autorización de gastos de carácter plurianual y futuros con duración superior a los cuatro años o cuyo importe acumulado de todas las anualidades supere el 10% de los recursos ordinarios del Presupuesto, referido a los recursos ordinarios del primer ejercicio.</w:t>
            </w:r>
          </w:p>
          <w:p w14:paraId="06A35C9D" w14:textId="77777777" w:rsidR="00C01D28" w:rsidRDefault="00C01D28" w:rsidP="00C01D28">
            <w:pPr>
              <w:widowControl w:val="0"/>
              <w:tabs>
                <w:tab w:val="left" w:pos="1134"/>
              </w:tabs>
              <w:spacing w:before="240"/>
              <w:ind w:left="348" w:right="57"/>
              <w:rPr>
                <w:rFonts w:cs="Arial"/>
                <w:snapToGrid w:val="0"/>
                <w:sz w:val="20"/>
                <w:szCs w:val="20"/>
                <w:lang w:val="es-MX"/>
              </w:rPr>
            </w:pPr>
            <w:r w:rsidRPr="00CE73D6">
              <w:rPr>
                <w:rFonts w:cs="Arial"/>
                <w:snapToGrid w:val="0"/>
                <w:sz w:val="20"/>
                <w:szCs w:val="20"/>
                <w:lang w:val="es-MX"/>
              </w:rPr>
              <w:t xml:space="preserve">Se deberá remitir al Cabildo la propuesta de compromiso de gastos </w:t>
            </w:r>
            <w:r w:rsidRPr="00CE73D6">
              <w:rPr>
                <w:rFonts w:cs="Arial"/>
                <w:snapToGrid w:val="0"/>
                <w:sz w:val="20"/>
                <w:szCs w:val="20"/>
                <w:lang w:val="es-MX"/>
              </w:rPr>
              <w:lastRenderedPageBreak/>
              <w:t>aprobada al objeto de su aprobación definitiva.</w:t>
            </w:r>
          </w:p>
          <w:p w14:paraId="4424B69F" w14:textId="77777777" w:rsidR="00C01D28" w:rsidRPr="00C01D28" w:rsidRDefault="00C01D28" w:rsidP="00C01D28">
            <w:pPr>
              <w:widowControl w:val="0"/>
              <w:tabs>
                <w:tab w:val="left" w:pos="1134"/>
              </w:tabs>
              <w:spacing w:before="240"/>
              <w:ind w:left="348" w:right="57"/>
              <w:rPr>
                <w:rFonts w:cs="Arial"/>
                <w:snapToGrid w:val="0"/>
                <w:sz w:val="20"/>
                <w:szCs w:val="20"/>
                <w:lang w:val="es-MX"/>
              </w:rPr>
            </w:pPr>
          </w:p>
        </w:tc>
      </w:tr>
    </w:tbl>
    <w:p w14:paraId="4D69EF39" w14:textId="77777777" w:rsidR="0003164F" w:rsidRDefault="0003164F" w:rsidP="0003164F"/>
    <w:p w14:paraId="740B2FC0" w14:textId="77777777" w:rsidR="0003164F" w:rsidRDefault="0003164F" w:rsidP="0003164F"/>
    <w:p w14:paraId="6C33D4FB" w14:textId="77777777" w:rsidR="00CE73D6" w:rsidRDefault="00CE73D6" w:rsidP="0003164F"/>
    <w:p w14:paraId="1B7E8152" w14:textId="77777777" w:rsidR="00F21C1D" w:rsidRDefault="00F21C1D" w:rsidP="00F21C1D">
      <w:pPr>
        <w:pStyle w:val="Ttulo2"/>
        <w:rPr>
          <w:rFonts w:eastAsia="Times New Roman"/>
          <w:lang w:eastAsia="es-ES"/>
        </w:rPr>
      </w:pPr>
      <w:r w:rsidRPr="009A6FAE">
        <w:rPr>
          <w:rFonts w:eastAsia="Times New Roman"/>
          <w:lang w:eastAsia="es-ES"/>
        </w:rPr>
        <w:t>PERFIL DEL CONTRATANTE</w:t>
      </w:r>
    </w:p>
    <w:p w14:paraId="5F33DC10" w14:textId="77777777" w:rsidR="00F21C1D" w:rsidRDefault="00F21C1D" w:rsidP="00F21C1D">
      <w:pPr>
        <w:pStyle w:val="Ttulo3"/>
        <w:spacing w:before="240"/>
        <w:rPr>
          <w:lang w:eastAsia="es-ES"/>
        </w:rPr>
      </w:pPr>
      <w:r>
        <w:rPr>
          <w:lang w:eastAsia="es-ES"/>
        </w:rPr>
        <w:t>Actual Perfil del Contratante</w:t>
      </w:r>
    </w:p>
    <w:p w14:paraId="638E3145" w14:textId="77777777" w:rsidR="00F21C1D" w:rsidRDefault="00F21C1D" w:rsidP="00F21C1D">
      <w:pPr>
        <w:spacing w:before="240"/>
        <w:rPr>
          <w:rFonts w:eastAsia="Times New Roman" w:cs="Arial"/>
          <w:color w:val="000000"/>
          <w:lang w:eastAsia="es-ES"/>
        </w:rPr>
      </w:pPr>
      <w:r w:rsidRPr="009A6FAE">
        <w:rPr>
          <w:rFonts w:eastAsia="Times New Roman" w:cs="Arial"/>
          <w:color w:val="000000"/>
          <w:lang w:eastAsia="es-ES"/>
        </w:rPr>
        <w:t xml:space="preserve">Desde el </w:t>
      </w:r>
      <w:r w:rsidRPr="009A6FAE">
        <w:rPr>
          <w:rFonts w:eastAsia="Times New Roman" w:cs="Arial"/>
          <w:b/>
          <w:bCs/>
          <w:color w:val="000000"/>
          <w:lang w:eastAsia="es-ES"/>
        </w:rPr>
        <w:t>9 de marzo de 2018</w:t>
      </w:r>
      <w:r w:rsidRPr="009A6FAE">
        <w:rPr>
          <w:rFonts w:eastAsia="Times New Roman" w:cs="Arial"/>
          <w:color w:val="000000"/>
          <w:lang w:eastAsia="es-ES"/>
        </w:rPr>
        <w:t>, fechas de entrada en vigor de la Ley 9/2017 de Contratos del Sector Público, el Perfil del contratante de los Órganos de Contratación del Consorcio de Prevención, Extinción de Incendios y Salvamento de la Isla de Tenerife está alojado en la PLATAFORMA DE CONTRATACIÓN DEL SECTOR PÚBLICO</w:t>
      </w:r>
    </w:p>
    <w:p w14:paraId="61050DA4" w14:textId="77777777" w:rsidR="00F21C1D" w:rsidRDefault="00F21C1D" w:rsidP="00F21C1D">
      <w:pPr>
        <w:rPr>
          <w:rFonts w:eastAsia="Times New Roman" w:cs="Arial"/>
          <w:color w:val="000000"/>
          <w:lang w:eastAsia="es-ES"/>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3"/>
        <w:gridCol w:w="5086"/>
      </w:tblGrid>
      <w:tr w:rsidR="00F21C1D" w:rsidRPr="009A6FAE" w14:paraId="7C753BB5" w14:textId="77777777" w:rsidTr="0098435F">
        <w:trPr>
          <w:trHeight w:val="327"/>
        </w:trPr>
        <w:tc>
          <w:tcPr>
            <w:tcW w:w="0" w:type="auto"/>
            <w:shd w:val="clear" w:color="auto" w:fill="BFBFBF" w:themeFill="background1" w:themeFillShade="BF"/>
            <w:tcMar>
              <w:top w:w="0" w:type="dxa"/>
              <w:left w:w="70" w:type="dxa"/>
              <w:bottom w:w="0" w:type="dxa"/>
              <w:right w:w="70" w:type="dxa"/>
            </w:tcMar>
            <w:hideMark/>
          </w:tcPr>
          <w:p w14:paraId="19E923CC" w14:textId="77777777" w:rsidR="00F21C1D" w:rsidRPr="009A6FAE" w:rsidRDefault="00F21C1D" w:rsidP="00F21C1D">
            <w:pPr>
              <w:rPr>
                <w:rFonts w:eastAsia="Times New Roman" w:cs="Arial"/>
                <w:lang w:eastAsia="es-ES"/>
              </w:rPr>
            </w:pPr>
            <w:r w:rsidRPr="009A6FAE">
              <w:rPr>
                <w:rFonts w:eastAsia="Times New Roman" w:cs="Arial"/>
                <w:b/>
                <w:bCs/>
                <w:lang w:eastAsia="es-ES"/>
              </w:rPr>
              <w:t>Órganos de contratación</w:t>
            </w:r>
          </w:p>
        </w:tc>
        <w:tc>
          <w:tcPr>
            <w:tcW w:w="0" w:type="auto"/>
            <w:shd w:val="clear" w:color="auto" w:fill="BFBFBF" w:themeFill="background1" w:themeFillShade="BF"/>
            <w:tcMar>
              <w:top w:w="0" w:type="dxa"/>
              <w:left w:w="70" w:type="dxa"/>
              <w:bottom w:w="0" w:type="dxa"/>
              <w:right w:w="70" w:type="dxa"/>
            </w:tcMar>
            <w:hideMark/>
          </w:tcPr>
          <w:p w14:paraId="200F0D12" w14:textId="77777777" w:rsidR="00F21C1D" w:rsidRPr="009A6FAE" w:rsidRDefault="00F21C1D" w:rsidP="00F21C1D">
            <w:pPr>
              <w:rPr>
                <w:rFonts w:eastAsia="Times New Roman" w:cs="Arial"/>
                <w:lang w:eastAsia="es-ES"/>
              </w:rPr>
            </w:pPr>
            <w:r w:rsidRPr="009A6FAE">
              <w:rPr>
                <w:rFonts w:eastAsia="Times New Roman" w:cs="Arial"/>
                <w:b/>
                <w:bCs/>
                <w:lang w:eastAsia="es-ES"/>
              </w:rPr>
              <w:t>Enlaces a los Perfiles del Contratante</w:t>
            </w:r>
          </w:p>
        </w:tc>
      </w:tr>
      <w:tr w:rsidR="00F21C1D" w:rsidRPr="009A6FAE" w14:paraId="742CD435" w14:textId="77777777" w:rsidTr="0098435F">
        <w:trPr>
          <w:trHeight w:val="362"/>
        </w:trPr>
        <w:tc>
          <w:tcPr>
            <w:tcW w:w="0" w:type="auto"/>
            <w:shd w:val="clear" w:color="auto" w:fill="BFBFBF" w:themeFill="background1" w:themeFillShade="BF"/>
            <w:tcMar>
              <w:top w:w="0" w:type="dxa"/>
              <w:left w:w="70" w:type="dxa"/>
              <w:bottom w:w="0" w:type="dxa"/>
              <w:right w:w="70" w:type="dxa"/>
            </w:tcMar>
            <w:hideMark/>
          </w:tcPr>
          <w:p w14:paraId="38809C98" w14:textId="77777777" w:rsidR="00F21C1D" w:rsidRPr="009A6FAE" w:rsidRDefault="00F21C1D" w:rsidP="00F21C1D">
            <w:pPr>
              <w:rPr>
                <w:rFonts w:eastAsia="Times New Roman" w:cs="Arial"/>
                <w:lang w:eastAsia="es-ES"/>
              </w:rPr>
            </w:pPr>
            <w:r w:rsidRPr="009A6FAE">
              <w:rPr>
                <w:rFonts w:eastAsia="Times New Roman" w:cs="Arial"/>
                <w:b/>
                <w:bCs/>
                <w:lang w:eastAsia="es-ES"/>
              </w:rPr>
              <w:t>GERENTE</w:t>
            </w:r>
          </w:p>
        </w:tc>
        <w:tc>
          <w:tcPr>
            <w:tcW w:w="0" w:type="auto"/>
            <w:tcMar>
              <w:top w:w="0" w:type="dxa"/>
              <w:left w:w="70" w:type="dxa"/>
              <w:bottom w:w="0" w:type="dxa"/>
              <w:right w:w="70" w:type="dxa"/>
            </w:tcMar>
            <w:hideMark/>
          </w:tcPr>
          <w:p w14:paraId="39044737" w14:textId="77777777" w:rsidR="00F21C1D" w:rsidRPr="009A6FAE" w:rsidRDefault="005B4276" w:rsidP="00F21C1D">
            <w:pPr>
              <w:rPr>
                <w:rFonts w:eastAsia="Times New Roman" w:cs="Arial"/>
                <w:lang w:eastAsia="es-ES"/>
              </w:rPr>
            </w:pPr>
            <w:hyperlink r:id="rId14" w:history="1">
              <w:r w:rsidR="00F21C1D" w:rsidRPr="009A6FAE">
                <w:rPr>
                  <w:rFonts w:eastAsia="Times New Roman" w:cs="Arial"/>
                  <w:color w:val="1155CC"/>
                  <w:u w:val="single"/>
                  <w:lang w:eastAsia="es-ES"/>
                </w:rPr>
                <w:t>Acceso al Perfil del Contratante</w:t>
              </w:r>
            </w:hyperlink>
          </w:p>
        </w:tc>
      </w:tr>
      <w:tr w:rsidR="00F21C1D" w:rsidRPr="009A6FAE" w14:paraId="7439821B" w14:textId="77777777" w:rsidTr="0098435F">
        <w:trPr>
          <w:trHeight w:val="342"/>
        </w:trPr>
        <w:tc>
          <w:tcPr>
            <w:tcW w:w="0" w:type="auto"/>
            <w:shd w:val="clear" w:color="auto" w:fill="BFBFBF" w:themeFill="background1" w:themeFillShade="BF"/>
            <w:tcMar>
              <w:top w:w="0" w:type="dxa"/>
              <w:left w:w="70" w:type="dxa"/>
              <w:bottom w:w="0" w:type="dxa"/>
              <w:right w:w="70" w:type="dxa"/>
            </w:tcMar>
            <w:hideMark/>
          </w:tcPr>
          <w:p w14:paraId="76D5DD2D" w14:textId="77777777" w:rsidR="00F21C1D" w:rsidRPr="009A6FAE" w:rsidRDefault="00F21C1D" w:rsidP="00F21C1D">
            <w:pPr>
              <w:rPr>
                <w:rFonts w:eastAsia="Times New Roman" w:cs="Arial"/>
                <w:lang w:eastAsia="es-ES"/>
              </w:rPr>
            </w:pPr>
            <w:r w:rsidRPr="009A6FAE">
              <w:rPr>
                <w:rFonts w:eastAsia="Times New Roman" w:cs="Arial"/>
                <w:b/>
                <w:bCs/>
                <w:lang w:eastAsia="es-ES"/>
              </w:rPr>
              <w:t>COMITÉ EJECUTIVO</w:t>
            </w:r>
          </w:p>
        </w:tc>
        <w:tc>
          <w:tcPr>
            <w:tcW w:w="0" w:type="auto"/>
            <w:tcMar>
              <w:top w:w="0" w:type="dxa"/>
              <w:left w:w="70" w:type="dxa"/>
              <w:bottom w:w="0" w:type="dxa"/>
              <w:right w:w="70" w:type="dxa"/>
            </w:tcMar>
            <w:hideMark/>
          </w:tcPr>
          <w:p w14:paraId="05930528" w14:textId="77777777" w:rsidR="00F21C1D" w:rsidRPr="009A6FAE" w:rsidRDefault="005B4276" w:rsidP="00F21C1D">
            <w:pPr>
              <w:rPr>
                <w:rFonts w:eastAsia="Times New Roman" w:cs="Arial"/>
                <w:lang w:eastAsia="es-ES"/>
              </w:rPr>
            </w:pPr>
            <w:hyperlink r:id="rId15" w:history="1">
              <w:r w:rsidR="00F21C1D" w:rsidRPr="009A6FAE">
                <w:rPr>
                  <w:rFonts w:eastAsia="Times New Roman" w:cs="Arial"/>
                  <w:color w:val="1155CC"/>
                  <w:u w:val="single"/>
                  <w:lang w:eastAsia="es-ES"/>
                </w:rPr>
                <w:t>Acceso al Perfil del Contratante</w:t>
              </w:r>
            </w:hyperlink>
          </w:p>
        </w:tc>
      </w:tr>
    </w:tbl>
    <w:p w14:paraId="5D4136F3" w14:textId="77777777" w:rsidR="00F21C1D" w:rsidRDefault="00F21C1D" w:rsidP="00F21C1D">
      <w:pPr>
        <w:rPr>
          <w:rFonts w:eastAsia="Times New Roman" w:cs="Arial"/>
          <w:color w:val="000000"/>
          <w:lang w:eastAsia="es-ES"/>
        </w:rPr>
      </w:pPr>
    </w:p>
    <w:p w14:paraId="29E5ECE8" w14:textId="77777777" w:rsidR="00F21C1D" w:rsidRDefault="00F21C1D" w:rsidP="0098435F">
      <w:pPr>
        <w:pStyle w:val="Ttulo3"/>
        <w:rPr>
          <w:rFonts w:eastAsia="Times New Roman"/>
          <w:lang w:eastAsia="es-ES"/>
        </w:rPr>
      </w:pPr>
      <w:r>
        <w:rPr>
          <w:rFonts w:eastAsia="Times New Roman"/>
          <w:lang w:eastAsia="es-ES"/>
        </w:rPr>
        <w:t>Perfil del Contratante anterior a la entrada en vigor de la Ley 9/2017 LCSP</w:t>
      </w:r>
    </w:p>
    <w:p w14:paraId="74BE57F2" w14:textId="77777777" w:rsidR="00F21C1D" w:rsidRPr="00F21C1D" w:rsidRDefault="0098435F" w:rsidP="0098435F">
      <w:pPr>
        <w:spacing w:before="240"/>
        <w:rPr>
          <w:lang w:eastAsia="es-ES"/>
        </w:rPr>
      </w:pPr>
      <w:r w:rsidRPr="009A6FAE">
        <w:rPr>
          <w:rFonts w:eastAsia="Times New Roman" w:cs="Arial"/>
          <w:color w:val="000000"/>
          <w:lang w:eastAsia="es-ES"/>
        </w:rPr>
        <w:t>Hasta el 8</w:t>
      </w:r>
      <w:r w:rsidRPr="009A6FAE">
        <w:rPr>
          <w:rFonts w:eastAsia="Times New Roman" w:cs="Arial"/>
          <w:b/>
          <w:bCs/>
          <w:color w:val="000000"/>
          <w:lang w:eastAsia="es-ES"/>
        </w:rPr>
        <w:t xml:space="preserve"> de marzo de 2018</w:t>
      </w:r>
      <w:r w:rsidRPr="009A6FAE">
        <w:rPr>
          <w:rFonts w:eastAsia="Times New Roman" w:cs="Arial"/>
          <w:color w:val="000000"/>
          <w:lang w:eastAsia="es-ES"/>
        </w:rPr>
        <w:t>, fechas de entrada en vigor de la Ley 9/2017 de Contratos del Sector Público, el Perfil del contratante</w:t>
      </w:r>
      <w:r>
        <w:rPr>
          <w:rFonts w:eastAsia="Times New Roman" w:cs="Arial"/>
          <w:color w:val="000000"/>
          <w:lang w:eastAsia="es-ES"/>
        </w:rPr>
        <w:t xml:space="preserve"> del </w:t>
      </w:r>
      <w:r w:rsidRPr="009A6FAE">
        <w:rPr>
          <w:rFonts w:eastAsia="Times New Roman" w:cs="Arial"/>
          <w:color w:val="000000"/>
          <w:lang w:eastAsia="es-ES"/>
        </w:rPr>
        <w:t>Consorcio de Prevención, Extinción de Incendios y Salvamento de la Isla de Tenerife</w:t>
      </w:r>
      <w:r>
        <w:rPr>
          <w:rFonts w:eastAsia="Times New Roman" w:cs="Arial"/>
          <w:color w:val="000000"/>
          <w:lang w:eastAsia="es-ES"/>
        </w:rPr>
        <w:t>.</w:t>
      </w:r>
    </w:p>
    <w:p w14:paraId="4540CCAF" w14:textId="77777777" w:rsidR="00F21C1D" w:rsidRDefault="00F21C1D" w:rsidP="000316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2"/>
        <w:gridCol w:w="5172"/>
      </w:tblGrid>
      <w:tr w:rsidR="0098435F" w:rsidRPr="009A6FAE" w14:paraId="6F6C5F32" w14:textId="77777777" w:rsidTr="0098435F">
        <w:trPr>
          <w:trHeight w:val="360"/>
        </w:trPr>
        <w:tc>
          <w:tcPr>
            <w:tcW w:w="3472" w:type="dxa"/>
            <w:shd w:val="clear" w:color="auto" w:fill="BFBFBF" w:themeFill="background1" w:themeFillShade="BF"/>
            <w:tcMar>
              <w:top w:w="0" w:type="dxa"/>
              <w:left w:w="70" w:type="dxa"/>
              <w:bottom w:w="0" w:type="dxa"/>
              <w:right w:w="70" w:type="dxa"/>
            </w:tcMar>
            <w:hideMark/>
          </w:tcPr>
          <w:p w14:paraId="61F93375" w14:textId="77777777" w:rsidR="0098435F" w:rsidRPr="009A6FAE" w:rsidRDefault="0098435F" w:rsidP="005E55C3">
            <w:pPr>
              <w:rPr>
                <w:rFonts w:eastAsia="Times New Roman" w:cs="Arial"/>
                <w:lang w:eastAsia="es-ES"/>
              </w:rPr>
            </w:pPr>
            <w:r w:rsidRPr="009A6FAE">
              <w:rPr>
                <w:rFonts w:eastAsia="Times New Roman" w:cs="Arial"/>
                <w:b/>
                <w:bCs/>
                <w:lang w:eastAsia="es-ES"/>
              </w:rPr>
              <w:t>Órganos de contratación</w:t>
            </w:r>
          </w:p>
        </w:tc>
        <w:tc>
          <w:tcPr>
            <w:tcW w:w="5172" w:type="dxa"/>
            <w:shd w:val="clear" w:color="auto" w:fill="BFBFBF" w:themeFill="background1" w:themeFillShade="BF"/>
            <w:tcMar>
              <w:top w:w="0" w:type="dxa"/>
              <w:left w:w="70" w:type="dxa"/>
              <w:bottom w:w="0" w:type="dxa"/>
              <w:right w:w="70" w:type="dxa"/>
            </w:tcMar>
            <w:hideMark/>
          </w:tcPr>
          <w:p w14:paraId="30380033" w14:textId="77777777" w:rsidR="0098435F" w:rsidRPr="009A6FAE" w:rsidRDefault="0098435F" w:rsidP="005E55C3">
            <w:pPr>
              <w:rPr>
                <w:rFonts w:eastAsia="Times New Roman" w:cs="Arial"/>
                <w:lang w:eastAsia="es-ES"/>
              </w:rPr>
            </w:pPr>
            <w:r w:rsidRPr="009A6FAE">
              <w:rPr>
                <w:rFonts w:eastAsia="Times New Roman" w:cs="Arial"/>
                <w:b/>
                <w:bCs/>
                <w:lang w:eastAsia="es-ES"/>
              </w:rPr>
              <w:t>Enlaces a los Perfiles del Contratante (página web del CONSORCIO)</w:t>
            </w:r>
          </w:p>
        </w:tc>
      </w:tr>
      <w:tr w:rsidR="0098435F" w:rsidRPr="009A6FAE" w14:paraId="79828ED3" w14:textId="77777777" w:rsidTr="0098435F">
        <w:trPr>
          <w:trHeight w:val="393"/>
        </w:trPr>
        <w:tc>
          <w:tcPr>
            <w:tcW w:w="3472" w:type="dxa"/>
            <w:shd w:val="clear" w:color="auto" w:fill="BFBFBF" w:themeFill="background1" w:themeFillShade="BF"/>
            <w:tcMar>
              <w:top w:w="0" w:type="dxa"/>
              <w:left w:w="70" w:type="dxa"/>
              <w:bottom w:w="0" w:type="dxa"/>
              <w:right w:w="70" w:type="dxa"/>
            </w:tcMar>
            <w:hideMark/>
          </w:tcPr>
          <w:p w14:paraId="2B8CE39F" w14:textId="77777777" w:rsidR="0098435F" w:rsidRPr="009A6FAE" w:rsidRDefault="0098435F" w:rsidP="005E55C3">
            <w:pPr>
              <w:rPr>
                <w:rFonts w:eastAsia="Times New Roman" w:cs="Arial"/>
                <w:lang w:eastAsia="es-ES"/>
              </w:rPr>
            </w:pPr>
            <w:r>
              <w:rPr>
                <w:rFonts w:eastAsia="Times New Roman" w:cs="Arial"/>
                <w:b/>
                <w:bCs/>
                <w:lang w:eastAsia="es-ES"/>
              </w:rPr>
              <w:t>GERENTE</w:t>
            </w:r>
          </w:p>
        </w:tc>
        <w:tc>
          <w:tcPr>
            <w:tcW w:w="5172" w:type="dxa"/>
            <w:tcMar>
              <w:top w:w="0" w:type="dxa"/>
              <w:left w:w="70" w:type="dxa"/>
              <w:bottom w:w="0" w:type="dxa"/>
              <w:right w:w="70" w:type="dxa"/>
            </w:tcMar>
            <w:hideMark/>
          </w:tcPr>
          <w:p w14:paraId="57051850" w14:textId="77777777" w:rsidR="0098435F" w:rsidRPr="009A6FAE" w:rsidRDefault="005B4276" w:rsidP="005E55C3">
            <w:pPr>
              <w:rPr>
                <w:rFonts w:eastAsia="Times New Roman" w:cs="Arial"/>
                <w:lang w:eastAsia="es-ES"/>
              </w:rPr>
            </w:pPr>
            <w:hyperlink r:id="rId16" w:history="1">
              <w:r w:rsidR="0098435F" w:rsidRPr="009A6FAE">
                <w:rPr>
                  <w:rFonts w:eastAsia="Times New Roman" w:cs="Arial"/>
                  <w:color w:val="1155CC"/>
                  <w:u w:val="single"/>
                  <w:lang w:eastAsia="es-ES"/>
                </w:rPr>
                <w:t>Perfil del contratante</w:t>
              </w:r>
            </w:hyperlink>
          </w:p>
        </w:tc>
      </w:tr>
      <w:tr w:rsidR="0098435F" w:rsidRPr="009A6FAE" w14:paraId="4E7A0DC7" w14:textId="77777777" w:rsidTr="0098435F">
        <w:trPr>
          <w:trHeight w:val="413"/>
        </w:trPr>
        <w:tc>
          <w:tcPr>
            <w:tcW w:w="3472" w:type="dxa"/>
            <w:shd w:val="clear" w:color="auto" w:fill="BFBFBF" w:themeFill="background1" w:themeFillShade="BF"/>
            <w:tcMar>
              <w:top w:w="0" w:type="dxa"/>
              <w:left w:w="70" w:type="dxa"/>
              <w:bottom w:w="0" w:type="dxa"/>
              <w:right w:w="70" w:type="dxa"/>
            </w:tcMar>
            <w:hideMark/>
          </w:tcPr>
          <w:p w14:paraId="20AE25B9" w14:textId="77777777" w:rsidR="0098435F" w:rsidRPr="009A6FAE" w:rsidRDefault="0098435F" w:rsidP="005E55C3">
            <w:pPr>
              <w:rPr>
                <w:rFonts w:eastAsia="Times New Roman" w:cs="Arial"/>
                <w:lang w:eastAsia="es-ES"/>
              </w:rPr>
            </w:pPr>
            <w:r w:rsidRPr="009A6FAE">
              <w:rPr>
                <w:rFonts w:eastAsia="Times New Roman" w:cs="Arial"/>
                <w:b/>
                <w:bCs/>
                <w:lang w:eastAsia="es-ES"/>
              </w:rPr>
              <w:t>COMITÉ EJECUTIVO</w:t>
            </w:r>
          </w:p>
        </w:tc>
        <w:tc>
          <w:tcPr>
            <w:tcW w:w="5172" w:type="dxa"/>
            <w:tcMar>
              <w:top w:w="0" w:type="dxa"/>
              <w:left w:w="70" w:type="dxa"/>
              <w:bottom w:w="0" w:type="dxa"/>
              <w:right w:w="70" w:type="dxa"/>
            </w:tcMar>
            <w:hideMark/>
          </w:tcPr>
          <w:p w14:paraId="53E9E16E" w14:textId="77777777" w:rsidR="0098435F" w:rsidRPr="009A6FAE" w:rsidRDefault="005B4276" w:rsidP="005E55C3">
            <w:pPr>
              <w:rPr>
                <w:rFonts w:eastAsia="Times New Roman" w:cs="Arial"/>
                <w:lang w:eastAsia="es-ES"/>
              </w:rPr>
            </w:pPr>
            <w:hyperlink r:id="rId17" w:history="1">
              <w:r w:rsidR="0098435F" w:rsidRPr="009A6FAE">
                <w:rPr>
                  <w:rFonts w:eastAsia="Times New Roman" w:cs="Arial"/>
                  <w:color w:val="1155CC"/>
                  <w:u w:val="single"/>
                  <w:lang w:eastAsia="es-ES"/>
                </w:rPr>
                <w:t>Perfil del contratante</w:t>
              </w:r>
            </w:hyperlink>
          </w:p>
        </w:tc>
      </w:tr>
    </w:tbl>
    <w:p w14:paraId="3B6F7CCF" w14:textId="77777777" w:rsidR="0098435F" w:rsidRDefault="0098435F" w:rsidP="0003164F"/>
    <w:p w14:paraId="3F13F228" w14:textId="77777777" w:rsidR="006E6FA4" w:rsidRPr="006E6FA4" w:rsidRDefault="006E6FA4" w:rsidP="006E6FA4"/>
    <w:sectPr w:rsidR="006E6FA4" w:rsidRPr="006E6FA4" w:rsidSect="00041E20">
      <w:headerReference w:type="default" r:id="rId18"/>
      <w:footerReference w:type="default" r:id="rId19"/>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6AF8" w14:textId="77777777" w:rsidR="009D05EE" w:rsidRDefault="009D05EE" w:rsidP="00041E20">
      <w:r>
        <w:separator/>
      </w:r>
    </w:p>
  </w:endnote>
  <w:endnote w:type="continuationSeparator" w:id="0">
    <w:p w14:paraId="4D1BB666" w14:textId="77777777" w:rsidR="009D05EE" w:rsidRDefault="009D05EE" w:rsidP="0004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4536" w14:textId="77777777" w:rsidR="00575D53" w:rsidRDefault="00575D53" w:rsidP="00575D53">
    <w:pPr>
      <w:pStyle w:val="Piedepgina"/>
    </w:pPr>
    <w:r w:rsidRPr="00EA5D0F">
      <w:rPr>
        <w:sz w:val="16"/>
        <w:szCs w:val="16"/>
      </w:rPr>
      <w:t>Fecha de publicación: 30/12/2019</w:t>
    </w:r>
    <w:r w:rsidRPr="00EA5D0F">
      <w:rPr>
        <w:sz w:val="16"/>
        <w:szCs w:val="16"/>
      </w:rPr>
      <w:tab/>
    </w:r>
    <w:r w:rsidRPr="00EA5D0F">
      <w:rPr>
        <w:sz w:val="16"/>
        <w:szCs w:val="16"/>
      </w:rPr>
      <w:tab/>
      <w:t xml:space="preserve">Fecha de actualización: </w:t>
    </w:r>
    <w:r w:rsidR="005B4276">
      <w:fldChar w:fldCharType="begin"/>
    </w:r>
    <w:r w:rsidR="005B4276">
      <w:instrText xml:space="preserve"> DATE   \* MERGEFORMAT </w:instrText>
    </w:r>
    <w:r w:rsidR="005B4276">
      <w:fldChar w:fldCharType="separate"/>
    </w:r>
    <w:r w:rsidR="005B4276" w:rsidRPr="005B4276">
      <w:rPr>
        <w:noProof/>
        <w:sz w:val="16"/>
        <w:szCs w:val="16"/>
      </w:rPr>
      <w:t>07/04/2025</w:t>
    </w:r>
    <w:r w:rsidR="005B4276">
      <w:rPr>
        <w:noProof/>
        <w:sz w:val="16"/>
        <w:szCs w:val="16"/>
      </w:rPr>
      <w:fldChar w:fldCharType="end"/>
    </w:r>
  </w:p>
  <w:p w14:paraId="63582F56" w14:textId="77777777" w:rsidR="00575D53" w:rsidRDefault="00575D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C558" w14:textId="77777777" w:rsidR="009D05EE" w:rsidRDefault="009D05EE" w:rsidP="00041E20">
      <w:r>
        <w:separator/>
      </w:r>
    </w:p>
  </w:footnote>
  <w:footnote w:type="continuationSeparator" w:id="0">
    <w:p w14:paraId="6F1823EA" w14:textId="77777777" w:rsidR="009D05EE" w:rsidRDefault="009D05EE" w:rsidP="0004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EE3" w14:textId="77777777" w:rsidR="00F21C1D" w:rsidRDefault="00F21C1D" w:rsidP="00824FBD">
    <w:pPr>
      <w:pStyle w:val="Encabezado"/>
      <w:jc w:val="center"/>
    </w:pPr>
    <w:r>
      <w:rPr>
        <w:noProof/>
        <w:lang w:eastAsia="es-ES"/>
      </w:rPr>
      <w:drawing>
        <wp:inline distT="0" distB="0" distL="0" distR="0" wp14:anchorId="192B0C82" wp14:editId="238B908C">
          <wp:extent cx="2292350" cy="1032014"/>
          <wp:effectExtent l="19050" t="0" r="0" b="0"/>
          <wp:docPr id="2" name="1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
                  <a:stretch>
                    <a:fillRect/>
                  </a:stretch>
                </pic:blipFill>
                <pic:spPr>
                  <a:xfrm>
                    <a:off x="0" y="0"/>
                    <a:ext cx="2292253" cy="1031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23E"/>
    <w:multiLevelType w:val="hybridMultilevel"/>
    <w:tmpl w:val="2C9263B4"/>
    <w:lvl w:ilvl="0" w:tplc="617A041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D0256F"/>
    <w:multiLevelType w:val="hybridMultilevel"/>
    <w:tmpl w:val="B688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7C159E"/>
    <w:multiLevelType w:val="hybridMultilevel"/>
    <w:tmpl w:val="2C9263B4"/>
    <w:lvl w:ilvl="0" w:tplc="617A041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A24E36"/>
    <w:multiLevelType w:val="hybridMultilevel"/>
    <w:tmpl w:val="97B0D6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B94545"/>
    <w:multiLevelType w:val="hybridMultilevel"/>
    <w:tmpl w:val="F25E8E52"/>
    <w:lvl w:ilvl="0" w:tplc="79645F66">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A50319B"/>
    <w:multiLevelType w:val="hybridMultilevel"/>
    <w:tmpl w:val="98D001B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6CB3632B"/>
    <w:multiLevelType w:val="hybridMultilevel"/>
    <w:tmpl w:val="569AC422"/>
    <w:lvl w:ilvl="0" w:tplc="0C0A0001">
      <w:start w:val="1"/>
      <w:numFmt w:val="bullet"/>
      <w:lvlText w:val=""/>
      <w:lvlJc w:val="left"/>
      <w:pPr>
        <w:ind w:left="1309" w:hanging="360"/>
      </w:pPr>
      <w:rPr>
        <w:rFonts w:ascii="Symbol" w:hAnsi="Symbol" w:hint="default"/>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7" w15:restartNumberingAfterBreak="0">
    <w:nsid w:val="7F9E1612"/>
    <w:multiLevelType w:val="hybridMultilevel"/>
    <w:tmpl w:val="C8FCF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E20"/>
    <w:rsid w:val="0003164F"/>
    <w:rsid w:val="000341AC"/>
    <w:rsid w:val="00041E20"/>
    <w:rsid w:val="0013590A"/>
    <w:rsid w:val="001A3F4D"/>
    <w:rsid w:val="00207DF3"/>
    <w:rsid w:val="00210046"/>
    <w:rsid w:val="00252018"/>
    <w:rsid w:val="002A54B3"/>
    <w:rsid w:val="00356DE4"/>
    <w:rsid w:val="0038514D"/>
    <w:rsid w:val="003B4314"/>
    <w:rsid w:val="004D04AB"/>
    <w:rsid w:val="00575D53"/>
    <w:rsid w:val="005949FE"/>
    <w:rsid w:val="005B4276"/>
    <w:rsid w:val="005E69ED"/>
    <w:rsid w:val="005F7294"/>
    <w:rsid w:val="00640F61"/>
    <w:rsid w:val="0064365B"/>
    <w:rsid w:val="00662789"/>
    <w:rsid w:val="006E6FA4"/>
    <w:rsid w:val="007012D5"/>
    <w:rsid w:val="007407D8"/>
    <w:rsid w:val="007525B5"/>
    <w:rsid w:val="00824FBD"/>
    <w:rsid w:val="00903A29"/>
    <w:rsid w:val="009676AD"/>
    <w:rsid w:val="00973FC3"/>
    <w:rsid w:val="0098435F"/>
    <w:rsid w:val="009D05EE"/>
    <w:rsid w:val="00A70889"/>
    <w:rsid w:val="00B06755"/>
    <w:rsid w:val="00C01D28"/>
    <w:rsid w:val="00C05E8A"/>
    <w:rsid w:val="00C125F8"/>
    <w:rsid w:val="00CD6457"/>
    <w:rsid w:val="00CE73D6"/>
    <w:rsid w:val="00D05327"/>
    <w:rsid w:val="00D4357B"/>
    <w:rsid w:val="00D77ABE"/>
    <w:rsid w:val="00E25D34"/>
    <w:rsid w:val="00F21C1D"/>
    <w:rsid w:val="00F21E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B9BAC"/>
  <w15:docId w15:val="{3653EFBE-5467-4521-91B5-DE54F1D3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20"/>
    <w:pPr>
      <w:spacing w:after="0" w:line="240" w:lineRule="auto"/>
      <w:jc w:val="both"/>
    </w:pPr>
    <w:rPr>
      <w:rFonts w:ascii="Arial" w:hAnsi="Arial"/>
    </w:rPr>
  </w:style>
  <w:style w:type="paragraph" w:styleId="Ttulo1">
    <w:name w:val="heading 1"/>
    <w:basedOn w:val="Normal"/>
    <w:next w:val="Normal"/>
    <w:link w:val="Ttulo1Car"/>
    <w:uiPriority w:val="9"/>
    <w:qFormat/>
    <w:rsid w:val="00041E20"/>
    <w:pPr>
      <w:keepNext/>
      <w:keepLines/>
      <w:spacing w:before="480"/>
      <w:outlineLvl w:val="0"/>
    </w:pPr>
    <w:rPr>
      <w:rFonts w:ascii="Arial Negrita" w:eastAsiaTheme="majorEastAsia" w:hAnsi="Arial Negrita" w:cstheme="majorBidi"/>
      <w:b/>
      <w:bCs/>
      <w:caps/>
      <w:color w:val="FF0000"/>
      <w:sz w:val="28"/>
      <w:szCs w:val="28"/>
    </w:rPr>
  </w:style>
  <w:style w:type="paragraph" w:styleId="Ttulo2">
    <w:name w:val="heading 2"/>
    <w:basedOn w:val="Normal"/>
    <w:next w:val="Normal"/>
    <w:link w:val="Ttulo2Car"/>
    <w:uiPriority w:val="9"/>
    <w:unhideWhenUsed/>
    <w:qFormat/>
    <w:rsid w:val="00041E20"/>
    <w:pPr>
      <w:keepNext/>
      <w:keepLines/>
      <w:spacing w:before="200"/>
      <w:outlineLvl w:val="1"/>
    </w:pPr>
    <w:rPr>
      <w:rFonts w:eastAsiaTheme="majorEastAsia" w:cstheme="majorBidi"/>
      <w:b/>
      <w:bCs/>
      <w:color w:val="FF0000"/>
      <w:sz w:val="24"/>
      <w:szCs w:val="26"/>
    </w:rPr>
  </w:style>
  <w:style w:type="paragraph" w:styleId="Ttulo3">
    <w:name w:val="heading 3"/>
    <w:basedOn w:val="Normal"/>
    <w:next w:val="Normal"/>
    <w:link w:val="Ttulo3Car"/>
    <w:uiPriority w:val="9"/>
    <w:unhideWhenUsed/>
    <w:qFormat/>
    <w:rsid w:val="00041E20"/>
    <w:pPr>
      <w:keepNext/>
      <w:keepLines/>
      <w:outlineLvl w:val="2"/>
    </w:pPr>
    <w:rPr>
      <w:rFonts w:eastAsiaTheme="majorEastAsia" w:cstheme="majorBidi"/>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20"/>
    <w:rPr>
      <w:rFonts w:ascii="Arial Negrita" w:eastAsiaTheme="majorEastAsia" w:hAnsi="Arial Negrita" w:cstheme="majorBidi"/>
      <w:b/>
      <w:bCs/>
      <w:caps/>
      <w:color w:val="FF0000"/>
      <w:sz w:val="28"/>
      <w:szCs w:val="28"/>
    </w:rPr>
  </w:style>
  <w:style w:type="character" w:customStyle="1" w:styleId="Ttulo2Car">
    <w:name w:val="Título 2 Car"/>
    <w:basedOn w:val="Fuentedeprrafopredeter"/>
    <w:link w:val="Ttulo2"/>
    <w:uiPriority w:val="9"/>
    <w:rsid w:val="00041E20"/>
    <w:rPr>
      <w:rFonts w:ascii="Arial" w:eastAsiaTheme="majorEastAsia" w:hAnsi="Arial" w:cstheme="majorBidi"/>
      <w:b/>
      <w:bCs/>
      <w:color w:val="FF0000"/>
      <w:sz w:val="24"/>
      <w:szCs w:val="26"/>
    </w:rPr>
  </w:style>
  <w:style w:type="character" w:customStyle="1" w:styleId="Ttulo3Car">
    <w:name w:val="Título 3 Car"/>
    <w:basedOn w:val="Fuentedeprrafopredeter"/>
    <w:link w:val="Ttulo3"/>
    <w:uiPriority w:val="9"/>
    <w:rsid w:val="00041E20"/>
    <w:rPr>
      <w:rFonts w:ascii="Arial" w:eastAsiaTheme="majorEastAsia" w:hAnsi="Arial" w:cstheme="majorBidi"/>
      <w:b/>
      <w:bCs/>
      <w:u w:val="single"/>
    </w:rPr>
  </w:style>
  <w:style w:type="paragraph" w:styleId="Encabezado">
    <w:name w:val="header"/>
    <w:basedOn w:val="Normal"/>
    <w:link w:val="EncabezadoCar"/>
    <w:uiPriority w:val="99"/>
    <w:semiHidden/>
    <w:unhideWhenUsed/>
    <w:rsid w:val="00041E20"/>
    <w:pPr>
      <w:tabs>
        <w:tab w:val="center" w:pos="4252"/>
        <w:tab w:val="right" w:pos="8504"/>
      </w:tabs>
    </w:pPr>
  </w:style>
  <w:style w:type="character" w:customStyle="1" w:styleId="EncabezadoCar">
    <w:name w:val="Encabezado Car"/>
    <w:basedOn w:val="Fuentedeprrafopredeter"/>
    <w:link w:val="Encabezado"/>
    <w:uiPriority w:val="99"/>
    <w:semiHidden/>
    <w:rsid w:val="00041E20"/>
    <w:rPr>
      <w:rFonts w:ascii="Arial" w:hAnsi="Arial"/>
    </w:rPr>
  </w:style>
  <w:style w:type="paragraph" w:styleId="Piedepgina">
    <w:name w:val="footer"/>
    <w:basedOn w:val="Normal"/>
    <w:link w:val="PiedepginaCar"/>
    <w:uiPriority w:val="99"/>
    <w:semiHidden/>
    <w:unhideWhenUsed/>
    <w:rsid w:val="00041E20"/>
    <w:pPr>
      <w:tabs>
        <w:tab w:val="center" w:pos="4252"/>
        <w:tab w:val="right" w:pos="8504"/>
      </w:tabs>
    </w:pPr>
  </w:style>
  <w:style w:type="character" w:customStyle="1" w:styleId="PiedepginaCar">
    <w:name w:val="Pie de página Car"/>
    <w:basedOn w:val="Fuentedeprrafopredeter"/>
    <w:link w:val="Piedepgina"/>
    <w:uiPriority w:val="99"/>
    <w:semiHidden/>
    <w:rsid w:val="00041E20"/>
    <w:rPr>
      <w:rFonts w:ascii="Arial" w:hAnsi="Arial"/>
    </w:rPr>
  </w:style>
  <w:style w:type="paragraph" w:styleId="Textodeglobo">
    <w:name w:val="Balloon Text"/>
    <w:basedOn w:val="Normal"/>
    <w:link w:val="TextodegloboCar"/>
    <w:uiPriority w:val="99"/>
    <w:semiHidden/>
    <w:unhideWhenUsed/>
    <w:rsid w:val="00041E2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E20"/>
    <w:rPr>
      <w:rFonts w:ascii="Tahoma" w:hAnsi="Tahoma" w:cs="Tahoma"/>
      <w:sz w:val="16"/>
      <w:szCs w:val="16"/>
    </w:rPr>
  </w:style>
  <w:style w:type="paragraph" w:styleId="NormalWeb">
    <w:name w:val="Normal (Web)"/>
    <w:basedOn w:val="Normal"/>
    <w:uiPriority w:val="99"/>
    <w:semiHidden/>
    <w:unhideWhenUsed/>
    <w:rsid w:val="005949FE"/>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E6FA4"/>
    <w:rPr>
      <w:color w:val="0000FF"/>
      <w:u w:val="single"/>
    </w:rPr>
  </w:style>
  <w:style w:type="paragraph" w:styleId="Prrafodelista">
    <w:name w:val="List Paragraph"/>
    <w:basedOn w:val="Normal"/>
    <w:uiPriority w:val="34"/>
    <w:qFormat/>
    <w:rsid w:val="006E6FA4"/>
    <w:pPr>
      <w:autoSpaceDE w:val="0"/>
      <w:autoSpaceDN w:val="0"/>
      <w:ind w:left="720"/>
      <w:contextualSpacing/>
      <w:jc w:val="left"/>
    </w:pPr>
    <w:rPr>
      <w:rFonts w:ascii="Times New Roman" w:eastAsia="Times New Roman" w:hAnsi="Times New Roman" w:cs="Times New Roman"/>
      <w:sz w:val="20"/>
      <w:szCs w:val="20"/>
      <w:lang w:eastAsia="es-ES"/>
    </w:rPr>
  </w:style>
  <w:style w:type="table" w:styleId="Tablaconcuadrcula">
    <w:name w:val="Table Grid"/>
    <w:basedOn w:val="Tablanormal"/>
    <w:uiPriority w:val="59"/>
    <w:unhideWhenUsed/>
    <w:rsid w:val="0021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05327"/>
    <w:rPr>
      <w:color w:val="605E5C"/>
      <w:shd w:val="clear" w:color="auto" w:fill="E1DFDD"/>
    </w:rPr>
  </w:style>
  <w:style w:type="character" w:styleId="Hipervnculovisitado">
    <w:name w:val="FollowedHyperlink"/>
    <w:basedOn w:val="Fuentedeprrafopredeter"/>
    <w:uiPriority w:val="99"/>
    <w:semiHidden/>
    <w:unhideWhenUsed/>
    <w:rsid w:val="00E25D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7030">
      <w:bodyDiv w:val="1"/>
      <w:marLeft w:val="0"/>
      <w:marRight w:val="0"/>
      <w:marTop w:val="0"/>
      <w:marBottom w:val="0"/>
      <w:divBdr>
        <w:top w:val="none" w:sz="0" w:space="0" w:color="auto"/>
        <w:left w:val="none" w:sz="0" w:space="0" w:color="auto"/>
        <w:bottom w:val="none" w:sz="0" w:space="0" w:color="auto"/>
        <w:right w:val="none" w:sz="0" w:space="0" w:color="auto"/>
      </w:divBdr>
    </w:div>
    <w:div w:id="467555378">
      <w:bodyDiv w:val="1"/>
      <w:marLeft w:val="0"/>
      <w:marRight w:val="0"/>
      <w:marTop w:val="0"/>
      <w:marBottom w:val="0"/>
      <w:divBdr>
        <w:top w:val="none" w:sz="0" w:space="0" w:color="auto"/>
        <w:left w:val="none" w:sz="0" w:space="0" w:color="auto"/>
        <w:bottom w:val="none" w:sz="0" w:space="0" w:color="auto"/>
        <w:right w:val="none" w:sz="0" w:space="0" w:color="auto"/>
      </w:divBdr>
    </w:div>
    <w:div w:id="968894399">
      <w:bodyDiv w:val="1"/>
      <w:marLeft w:val="0"/>
      <w:marRight w:val="0"/>
      <w:marTop w:val="0"/>
      <w:marBottom w:val="0"/>
      <w:divBdr>
        <w:top w:val="none" w:sz="0" w:space="0" w:color="auto"/>
        <w:left w:val="none" w:sz="0" w:space="0" w:color="auto"/>
        <w:bottom w:val="none" w:sz="0" w:space="0" w:color="auto"/>
        <w:right w:val="none" w:sz="0" w:space="0" w:color="auto"/>
      </w:divBdr>
    </w:div>
    <w:div w:id="19137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mberostenerife.es/upload/Estatutos%20del%20Consorcio%202015.pdf" TargetMode="External"/><Relationship Id="rId13" Type="http://schemas.openxmlformats.org/officeDocument/2006/relationships/hyperlink" Target="https://bomberostenerife.es/upload/transparencia/2022/06/662608422BASES%20DE%20EJECUCION.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dministracion@bomberostenerife.com" TargetMode="External"/><Relationship Id="rId12" Type="http://schemas.openxmlformats.org/officeDocument/2006/relationships/hyperlink" Target="https://bomberostenerife.es/upload/transparencia/2022/06/662608422BASES%20DE%20EJECUCION.pdf" TargetMode="External"/><Relationship Id="rId17" Type="http://schemas.openxmlformats.org/officeDocument/2006/relationships/hyperlink" Target="http://bomberostenerife.es/publicaciones/perfil-contratante/" TargetMode="External"/><Relationship Id="rId2" Type="http://schemas.openxmlformats.org/officeDocument/2006/relationships/styles" Target="styles.xml"/><Relationship Id="rId16" Type="http://schemas.openxmlformats.org/officeDocument/2006/relationships/hyperlink" Target="http://bomberostenerife.es/publicaciones/perfil-contratan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mberostenerife.es/upload/Estatutos%20del%20Consorcio%202015.pdf" TargetMode="External"/><Relationship Id="rId5" Type="http://schemas.openxmlformats.org/officeDocument/2006/relationships/footnotes" Target="footnotes.xml"/><Relationship Id="rId15" Type="http://schemas.openxmlformats.org/officeDocument/2006/relationships/hyperlink" Target="https://contrataciondelestado.es/wps/poc?uri=deeplink%3AperfilContratante&amp;idBp=8PYkgyt71yEQK2TEfXGy%2BA%3D%3D" TargetMode="External"/><Relationship Id="rId10" Type="http://schemas.openxmlformats.org/officeDocument/2006/relationships/hyperlink" Target="http://bomberostenerife.es/upload/Estatutos%20del%20Consorcio%20201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omberostenerife.es/upload/Estatutos%20del%20Consorcio%202015.pdf" TargetMode="External"/><Relationship Id="rId14" Type="http://schemas.openxmlformats.org/officeDocument/2006/relationships/hyperlink" Target="https://contrataciondelestado.es/wps/poc?uri=deeplink%3AperfilContratante&amp;idBp=QWjJzl1FWN8QK2TEfXGy%2BA%3D%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mmercedes</dc:creator>
  <cp:lastModifiedBy>José Eduardo Socas Delgado</cp:lastModifiedBy>
  <cp:revision>5</cp:revision>
  <dcterms:created xsi:type="dcterms:W3CDTF">2022-06-08T11:28:00Z</dcterms:created>
  <dcterms:modified xsi:type="dcterms:W3CDTF">2025-04-07T08:13:00Z</dcterms:modified>
</cp:coreProperties>
</file>